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6272BC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6E274" wp14:editId="662A4DE3">
                <wp:simplePos x="0" y="0"/>
                <wp:positionH relativeFrom="page">
                  <wp:posOffset>1981835</wp:posOffset>
                </wp:positionH>
                <wp:positionV relativeFrom="page">
                  <wp:posOffset>279400</wp:posOffset>
                </wp:positionV>
                <wp:extent cx="4467860" cy="1098550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2E7" w:rsidRPr="00083EE0" w:rsidRDefault="00A672E7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Ako pripraviť úspešnú ponuku podľa nového zákona o VO</w:t>
                            </w:r>
                          </w:p>
                          <w:p w:rsidR="00A51EC8" w:rsidRPr="00933551" w:rsidRDefault="006272BC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                    </w:t>
                            </w:r>
                            <w:r w:rsidR="00A672E7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</w:t>
                            </w:r>
                            <w:r w:rsidR="00213DB2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3</w:t>
                            </w:r>
                            <w:r w:rsidR="00A672E7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 w:rsidR="000774A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6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156.05pt;margin-top:22pt;width:351.8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" filled="f" stroked="f">
                <v:textbox inset="0,0,0,0">
                  <w:txbxContent>
                    <w:p w:rsidR="00A672E7" w:rsidRPr="00083EE0" w:rsidRDefault="00A672E7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Ako pripraviť úspešnú ponuku podľa nového zákona o VO</w:t>
                      </w:r>
                    </w:p>
                    <w:p w:rsidR="00A51EC8" w:rsidRPr="00933551" w:rsidRDefault="006272BC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                    </w:t>
                      </w:r>
                      <w:r w:rsidR="00A672E7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</w:t>
                      </w:r>
                      <w:r w:rsidR="00213DB2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3</w:t>
                      </w:r>
                      <w:r w:rsidR="00A672E7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 w:rsidR="000774A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6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138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858A6" wp14:editId="09CDCB53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A672E7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Dagmar Melotíková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672E7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374B0D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98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A672E7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672E7" w:rsidRDefault="00A672E7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74B0D" w:rsidRPr="00152026" w:rsidRDefault="00374B0D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TATRA HOTEL POPRAD, Karpatská 7, Poprad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Default="00A672E7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Dagmar Melotíková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672E7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374B0D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98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A672E7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672E7" w:rsidRDefault="00A672E7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74B0D" w:rsidRPr="00152026" w:rsidRDefault="00374B0D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TATRA HOTEL POPRAD, Karpatská 7, Poprad</w:t>
                      </w: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6FDDBA9" wp14:editId="43E0B830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A672E7" w:rsidRDefault="00083EE0" w:rsidP="00A672E7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A672E7" w:rsidRPr="00A672E7" w:rsidRDefault="00A672E7" w:rsidP="00A672E7">
      <w:pPr>
        <w:pStyle w:val="Bezmezer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Jednotný európsky dokument -  preukazovanie splnenia podmienok účasti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Nový princíp proporcionality,  napr. pri nejasnostiach ponuky by verejný obstarávateľ alebo obstarávateľ nemal automaticky ponuku vylúčiť,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Využívanie subdodávateľov a možnosť zmeny subdodávateľa,  definícia subdodávateľa,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Dodatky k zmluvám – liberalizácia možnosti uzatvárania dodatkov,  použitie je naviazané na potrebu vyvinúť a kúpiť inovačný výrobok, službu alebo stavebné práce, povinnosť odstúpenia od zmluvy,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Trhové konzultácie – pomoc dodávateľa obstarávateľovi pri príprave verejného obstarávania,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Nové pravidlá revíznych postupov –  námietka aj v podlimitnej zákazke,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Zábezpeka – aj na podlimitné zákazky,  zníženie maximálnej výšky,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Nové úpravy  týkajúce sa konfliktu záujmov.</w:t>
      </w:r>
    </w:p>
    <w:p w:rsidR="008463FE" w:rsidRPr="00A672E7" w:rsidRDefault="00A672E7" w:rsidP="007A7349">
      <w:pPr>
        <w:pStyle w:val="Odstavecseseznamem"/>
        <w:numPr>
          <w:ilvl w:val="0"/>
          <w:numId w:val="41"/>
        </w:numPr>
        <w:rPr>
          <w:rFonts w:ascii="Eurostile T OT" w:hAnsi="Eurostile T OT"/>
          <w:color w:val="215868" w:themeColor="accent5" w:themeShade="80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Register konečných užívateľov výho</w:t>
      </w:r>
      <w:r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d, Zápis do zoznamu podnikateľov</w: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3FF2B" wp14:editId="5FF0C2B3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374B0D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98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left:0;text-align:left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374B0D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98</w:t>
                      </w:r>
                      <w:bookmarkStart w:id="1" w:name="_GoBack"/>
                      <w:bookmarkEnd w:id="1"/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A672E7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</w:t>
                            </w:r>
                            <w:r w:rsidR="00213DB2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 w:rsidR="000774A1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6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A672E7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</w:t>
                      </w:r>
                      <w:r w:rsidR="00213DB2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 w:rsidR="000774A1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6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6272BC">
    <w:pPr>
      <w:pStyle w:val="Zhlav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-219075</wp:posOffset>
          </wp:positionH>
          <wp:positionV relativeFrom="margin">
            <wp:posOffset>-1160199</wp:posOffset>
          </wp:positionV>
          <wp:extent cx="1737995" cy="7239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9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DF7"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5231130</wp:posOffset>
          </wp:positionH>
          <wp:positionV relativeFrom="paragraph">
            <wp:posOffset>465455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5FDA"/>
    <w:multiLevelType w:val="hybridMultilevel"/>
    <w:tmpl w:val="043826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D783796"/>
    <w:multiLevelType w:val="hybridMultilevel"/>
    <w:tmpl w:val="C72A4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28"/>
  </w:num>
  <w:num w:numId="5">
    <w:abstractNumId w:val="34"/>
  </w:num>
  <w:num w:numId="6">
    <w:abstractNumId w:val="8"/>
  </w:num>
  <w:num w:numId="7">
    <w:abstractNumId w:val="25"/>
  </w:num>
  <w:num w:numId="8">
    <w:abstractNumId w:val="27"/>
  </w:num>
  <w:num w:numId="9">
    <w:abstractNumId w:val="0"/>
  </w:num>
  <w:num w:numId="10">
    <w:abstractNumId w:val="17"/>
  </w:num>
  <w:num w:numId="11">
    <w:abstractNumId w:val="37"/>
  </w:num>
  <w:num w:numId="12">
    <w:abstractNumId w:val="16"/>
  </w:num>
  <w:num w:numId="13">
    <w:abstractNumId w:val="6"/>
  </w:num>
  <w:num w:numId="14">
    <w:abstractNumId w:val="31"/>
  </w:num>
  <w:num w:numId="15">
    <w:abstractNumId w:val="5"/>
  </w:num>
  <w:num w:numId="16">
    <w:abstractNumId w:val="9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3"/>
  </w:num>
  <w:num w:numId="24">
    <w:abstractNumId w:val="14"/>
  </w:num>
  <w:num w:numId="25">
    <w:abstractNumId w:val="35"/>
  </w:num>
  <w:num w:numId="26">
    <w:abstractNumId w:val="13"/>
  </w:num>
  <w:num w:numId="27">
    <w:abstractNumId w:val="29"/>
  </w:num>
  <w:num w:numId="28">
    <w:abstractNumId w:val="24"/>
  </w:num>
  <w:num w:numId="29">
    <w:abstractNumId w:val="26"/>
  </w:num>
  <w:num w:numId="30">
    <w:abstractNumId w:val="3"/>
  </w:num>
  <w:num w:numId="31">
    <w:abstractNumId w:val="21"/>
  </w:num>
  <w:num w:numId="32">
    <w:abstractNumId w:val="36"/>
  </w:num>
  <w:num w:numId="33">
    <w:abstractNumId w:val="22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8"/>
  </w:num>
  <w:num w:numId="38">
    <w:abstractNumId w:val="5"/>
  </w:num>
  <w:num w:numId="39">
    <w:abstractNumId w:val="10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76C18"/>
    <w:rsid w:val="000774A1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13DB2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74B0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272BC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672E7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06D1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A134-E9BA-421F-A50A-5A7D78F7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4</cp:revision>
  <cp:lastPrinted>2013-08-26T10:50:00Z</cp:lastPrinted>
  <dcterms:created xsi:type="dcterms:W3CDTF">2016-05-19T12:35:00Z</dcterms:created>
  <dcterms:modified xsi:type="dcterms:W3CDTF">2016-05-19T12:56:00Z</dcterms:modified>
</cp:coreProperties>
</file>