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CA" w:rsidRDefault="004B68F7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BRATISLAVA</w:t>
                            </w:r>
                            <w:r w:rsidR="003C31C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="003C31CA" w:rsidRPr="003C31C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Dodávatelia – JED a ďalšie možnosti preukazovania podmienok účasti PODROBNE</w:t>
                            </w:r>
                          </w:p>
                          <w:p w:rsidR="007579A4" w:rsidRPr="001C500E" w:rsidRDefault="004B68F7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16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3C31CA" w:rsidRDefault="004B68F7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BRATISLAVA</w:t>
                      </w:r>
                      <w:r w:rsidR="003C31C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3C31CA" w:rsidRPr="003C31C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Dodávatelia – JED a ďalšie možnosti preukazovania podmienok účasti PODROBNE</w:t>
                      </w:r>
                    </w:p>
                    <w:p w:rsidR="007579A4" w:rsidRPr="001C500E" w:rsidRDefault="004B68F7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16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3C31CA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Hilda Gajdošová</w:t>
      </w:r>
    </w:p>
    <w:p w:rsidR="003C31CA" w:rsidRDefault="003C31CA" w:rsidP="003C31CA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3C31CA">
        <w:rPr>
          <w:rFonts w:ascii="Eurostile T OT" w:hAnsi="Eurostile T OT" w:cs="Calibri"/>
          <w:noProof/>
          <w:sz w:val="22"/>
          <w:szCs w:val="22"/>
          <w:lang w:val="sk-SK"/>
        </w:rPr>
        <w:t xml:space="preserve">lektor pre oblasť verejného obstarávania, špecializuje sa na poradenstvo v oblasti verejného obstarávania a konzultácie pre záujemcov a uchádzačov vo verejnom obstarávaní a na realizáciu procesov verejného obstarávania pre verejných obstarávateľov a obstarávateľov, spolupracuje s Národohospodárskou fakultou EU, Katedrou financií,  kde v rámci predmetu „Verejné rozpočty“ realizuje prednášky na tému verejného obstarávania z pohľadu praxe. </w:t>
      </w:r>
    </w:p>
    <w:p w:rsidR="007579A4" w:rsidRDefault="004B68F7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B68F7" w:rsidRDefault="004B68F7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4B68F7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DE62F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Príslušné ustanovenia zákona o verejnom obstarávaní vo vzťahu k preukazovaniu splnenia podmienok účasti, </w:t>
      </w:r>
      <w:proofErr w:type="spellStart"/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samoočisťovací</w:t>
      </w:r>
      <w:proofErr w:type="spellEnd"/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 mechanizmus, najnovšie poznatky z praxe, problematické oblasti a riešenia. 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Formy účasti hospodárskych subjektov vo verejnom obstarávaní, práva a povinnosti z toho vyplývajúce, čomu sa treba vyhnúť.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JED – podrobne. 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Aktualizácia dokladov v zozname hospodárskych subjektov.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Konflikt záujmov a jeho identifikácia, predbežné trhové konzultácie, etické zásady vo verejnom obstarávaní.</w:t>
      </w:r>
    </w:p>
    <w:p w:rsid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>Dohody narúšajúce čestnú hospodársku súťaž, ich formy a odhaľovanie – povinnosti a postupy verejných obstarávateľov  - dopady na uchádzačov a ich obchodných partnerov.</w:t>
      </w:r>
    </w:p>
    <w:p w:rsidR="00DE62F2" w:rsidRPr="003C31CA" w:rsidRDefault="00DE62F2" w:rsidP="00DE62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DE62F2">
        <w:rPr>
          <w:rFonts w:ascii="Eurostile T OT" w:hAnsi="Eurostile T OT" w:cs="Arial"/>
          <w:color w:val="000000"/>
          <w:sz w:val="22"/>
          <w:szCs w:val="22"/>
          <w:lang w:val="sk-SK"/>
        </w:rPr>
        <w:t>Register partnerov verejného sektora (Proti schránkový zákon) – najdôležitejšie ustanovenia a vzťah k zákonu o verejnom obstarávaní.</w:t>
      </w:r>
    </w:p>
    <w:p w:rsidR="003C31CA" w:rsidRPr="003C31CA" w:rsidRDefault="003C31CA" w:rsidP="003C31C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C31CA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Vaše problémy a otázky.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4B68F7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16.8</w:t>
                            </w:r>
                            <w:bookmarkStart w:id="0" w:name="_GoBack"/>
                            <w:bookmarkEnd w:id="0"/>
                            <w:r w:rsidR="00772BEB" w:rsidRPr="00772BE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4B68F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120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4B68F7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16.8</w:t>
                      </w:r>
                      <w:bookmarkStart w:id="1" w:name="_GoBack"/>
                      <w:bookmarkEnd w:id="1"/>
                      <w:r w:rsidR="00772BEB" w:rsidRPr="00772BE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4B68F7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120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217F0C"/>
    <w:multiLevelType w:val="hybridMultilevel"/>
    <w:tmpl w:val="6CBE1C38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31CA"/>
    <w:rsid w:val="003C48CB"/>
    <w:rsid w:val="003F7B43"/>
    <w:rsid w:val="0040380B"/>
    <w:rsid w:val="00436A16"/>
    <w:rsid w:val="00446C12"/>
    <w:rsid w:val="0048271F"/>
    <w:rsid w:val="004B68F7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72BEB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DE62F2"/>
    <w:rsid w:val="00E5176E"/>
    <w:rsid w:val="00E64E5F"/>
    <w:rsid w:val="00EA0FA2"/>
    <w:rsid w:val="00EB01D0"/>
    <w:rsid w:val="00EB7B2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5</cp:revision>
  <cp:lastPrinted>2016-01-11T15:47:00Z</cp:lastPrinted>
  <dcterms:created xsi:type="dcterms:W3CDTF">2017-03-03T14:01:00Z</dcterms:created>
  <dcterms:modified xsi:type="dcterms:W3CDTF">2017-06-15T14:33:00Z</dcterms:modified>
</cp:coreProperties>
</file>