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D7" w:rsidRPr="000C0C39" w:rsidRDefault="00FA02D7" w:rsidP="008F6954">
      <w:pPr>
        <w:jc w:val="both"/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bookmarkStart w:id="0" w:name="_GoBack"/>
      <w:r w:rsidRPr="000C0C39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 xml:space="preserve">JUDr. </w:t>
      </w:r>
      <w:r w:rsidR="00FB38FB" w:rsidRPr="000C0C39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Martin Boržík, LL.M.</w:t>
      </w:r>
    </w:p>
    <w:bookmarkEnd w:id="0"/>
    <w:p w:rsidR="00FB38FB" w:rsidRPr="00FB38FB" w:rsidRDefault="00FB38FB" w:rsidP="00FB38FB">
      <w:pPr>
        <w:jc w:val="both"/>
        <w:rPr>
          <w:rFonts w:ascii="Eurostile T OT" w:hAnsi="Eurostile T OT"/>
          <w:b/>
          <w:sz w:val="22"/>
        </w:rPr>
      </w:pPr>
      <w:r w:rsidRPr="00FB38FB">
        <w:rPr>
          <w:rFonts w:ascii="Eurostile T OT" w:hAnsi="Eurostile T OT"/>
          <w:sz w:val="22"/>
          <w:lang w:eastAsia="sk-SK"/>
        </w:rPr>
        <w:t>je vlastníkom a výkonným riaditeľom spoločnosti SmartinG, s.r.o., ktorá dodáva služby vo verejnom obstarávaní. Radí obstarávateľom a verejným obstarávateľom, realizuje súťaže na kľúč, avšak pomáha i záujemcom a uchádzačom pri kompletizovaní ich ponúk predkladaných v procesoch verejného obstarávania. V súčasnosti pri viac než 20 podaniach udržiava 100% úspešnosť pri revíznych postupoch v námietkach a v odvolaniach pred Radou ÚVO.</w:t>
      </w:r>
    </w:p>
    <w:p w:rsidR="005B204D" w:rsidRPr="00FB38FB" w:rsidRDefault="005B20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</w:p>
    <w:p w:rsidR="007579A4" w:rsidRPr="00FB38FB" w:rsidRDefault="00FA02D7" w:rsidP="007579A4">
      <w:pPr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</w:pPr>
      <w:r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120</w:t>
      </w:r>
      <w:r w:rsidR="002A5008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,- EUR s</w:t>
      </w:r>
      <w:r w:rsidR="00C45893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 </w:t>
      </w:r>
      <w:r w:rsidR="002A5008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DPH</w:t>
      </w:r>
      <w:r w:rsidR="00C45893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FB38FB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  <w:r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Program školenia</w:t>
      </w:r>
      <w:r w:rsidR="00D2647B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 xml:space="preserve"> (09:00</w:t>
      </w:r>
      <w:r w:rsidR="007579A4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 xml:space="preserve"> – 1</w:t>
      </w:r>
      <w:r w:rsidR="00D64C6C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5</w:t>
      </w:r>
      <w:r w:rsidR="00BF27E6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:00</w:t>
      </w:r>
      <w:r w:rsidR="007579A4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):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Analýza revíznych postupov – starý zákon o VO vs. nový zákon o VO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jc w:val="both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Žiadosť o vysvetlenie ako brána ku revíznym postupom, jej dôvody, počítanie lehôt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jc w:val="both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color w:val="000000"/>
          <w:sz w:val="22"/>
          <w:lang w:eastAsia="sk-SK"/>
        </w:rPr>
        <w:t>Žiadosť o nápravu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color w:val="000000"/>
          <w:sz w:val="22"/>
          <w:lang w:eastAsia="sk-SK"/>
        </w:rPr>
        <w:t>Dohľad nad verejným obstarávaním – úlohy Úradu pre verejné obstarávanie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Ex-ante posúdenie</w:t>
      </w:r>
    </w:p>
    <w:p w:rsidR="00FB38FB" w:rsidRPr="00FB38FB" w:rsidRDefault="00FB38FB" w:rsidP="00A7272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color w:val="000000"/>
          <w:sz w:val="22"/>
          <w:lang w:eastAsia="sk-SK"/>
        </w:rPr>
        <w:t>Konanie o pr</w:t>
      </w:r>
      <w:r w:rsidRPr="00FB38FB">
        <w:rPr>
          <w:rFonts w:ascii="Eurostile T OT" w:hAnsi="Eurostile T OT"/>
          <w:color w:val="000000"/>
          <w:sz w:val="22"/>
          <w:lang w:eastAsia="sk-SK"/>
        </w:rPr>
        <w:t>eskúmanie úkonov kontrolovaného, k</w:t>
      </w:r>
      <w:r w:rsidRPr="00FB38FB">
        <w:rPr>
          <w:rFonts w:ascii="Eurostile T OT" w:hAnsi="Eurostile T OT"/>
          <w:color w:val="000000"/>
          <w:sz w:val="22"/>
          <w:lang w:eastAsia="sk-SK"/>
        </w:rPr>
        <w:t>onanie o preskúmanie úkonov kontr</w:t>
      </w:r>
      <w:r w:rsidRPr="00FB38FB">
        <w:rPr>
          <w:rFonts w:ascii="Eurostile T OT" w:hAnsi="Eurostile T OT"/>
          <w:color w:val="000000"/>
          <w:sz w:val="22"/>
          <w:lang w:eastAsia="sk-SK"/>
        </w:rPr>
        <w:t xml:space="preserve">olovaného pred uzavretím zmluvy, </w:t>
      </w:r>
      <w:r>
        <w:rPr>
          <w:rFonts w:ascii="Eurostile T OT" w:hAnsi="Eurostile T OT"/>
          <w:color w:val="000000"/>
          <w:sz w:val="22"/>
          <w:lang w:eastAsia="sk-SK"/>
        </w:rPr>
        <w:t>k</w:t>
      </w:r>
      <w:r w:rsidRPr="00FB38FB">
        <w:rPr>
          <w:rFonts w:ascii="Eurostile T OT" w:hAnsi="Eurostile T OT"/>
          <w:sz w:val="22"/>
          <w:lang w:eastAsia="sk-SK"/>
        </w:rPr>
        <w:t>onanie o preskúmanie úkonov kontrolovaného po uzavretí zmluvy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Námietky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Odvolanie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Kaucia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Návrh na určenie neplatnosti zmluvy, koncesnej zmluvy alebo rámcovej dohody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Trovy konania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Orgán vnútornej kontroly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Správne delikty – základné informácie</w:t>
      </w:r>
    </w:p>
    <w:p w:rsidR="00FB38FB" w:rsidRPr="00FB38FB" w:rsidRDefault="00FB38FB" w:rsidP="00FB38FB">
      <w:pPr>
        <w:numPr>
          <w:ilvl w:val="0"/>
          <w:numId w:val="22"/>
        </w:numPr>
        <w:spacing w:before="100" w:beforeAutospacing="1" w:after="100" w:afterAutospacing="1" w:line="256" w:lineRule="auto"/>
        <w:rPr>
          <w:rFonts w:ascii="Eurostile T OT" w:hAnsi="Eurostile T OT"/>
          <w:sz w:val="22"/>
          <w:lang w:eastAsia="sk-SK"/>
        </w:rPr>
      </w:pPr>
      <w:r w:rsidRPr="00FB38FB">
        <w:rPr>
          <w:rFonts w:ascii="Eurostile T OT" w:hAnsi="Eurostile T OT"/>
          <w:sz w:val="22"/>
          <w:lang w:eastAsia="sk-SK"/>
        </w:rPr>
        <w:t>Otázky a odpovede, diskusia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FB38FB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 – 13. 6. 2017</w:t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2A5008" w:rsidRPr="008F6954" w:rsidRDefault="005B20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120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B732F7" w:rsidRDefault="002A5008" w:rsidP="00B732F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B732F7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9125CD">
      <w:headerReference w:type="default" r:id="rId7"/>
      <w:footerReference w:type="default" r:id="rId8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Zapísaná v Obchodnom registri Okresného súdu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B38FB">
    <w:pPr>
      <w:pStyle w:val="Hlavika"/>
    </w:pPr>
    <w:r>
      <w:rPr>
        <w:rFonts w:eastAsia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23141</wp:posOffset>
              </wp:positionH>
              <wp:positionV relativeFrom="page">
                <wp:posOffset>350873</wp:posOffset>
              </wp:positionV>
              <wp:extent cx="5017459" cy="1084521"/>
              <wp:effectExtent l="0" t="0" r="12065" b="190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459" cy="10845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8FB" w:rsidRDefault="00FB38FB" w:rsidP="00FB38FB">
                          <w:pP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</w:pPr>
                          <w: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  <w:t xml:space="preserve">BRATISLAVA – </w:t>
                          </w:r>
                          <w: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  <w:t>Revízne postupy vo verejnom obstarávaní – aktuálna prax</w:t>
                          </w:r>
                          <w: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  <w:t xml:space="preserve"> </w:t>
                          </w:r>
                        </w:p>
                        <w:p w:rsidR="00FB38FB" w:rsidRDefault="00FB38FB" w:rsidP="00FB38FB">
                          <w:pP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</w:pPr>
                        </w:p>
                        <w:p w:rsidR="00FB38FB" w:rsidRDefault="00FB38FB" w:rsidP="00FB38FB">
                          <w:pPr>
                            <w:rPr>
                              <w:rFonts w:ascii="Eurostile T OT" w:hAnsi="Eurostile T OT" w:cs="Calibri"/>
                              <w:b/>
                              <w:bCs/>
                              <w:color w:val="F09100"/>
                              <w:sz w:val="32"/>
                              <w:szCs w:val="36"/>
                              <w:lang w:val="sk-SK"/>
                            </w:rPr>
                          </w:pPr>
                          <w:r>
                            <w:rPr>
                              <w:rFonts w:ascii="Eurostile T OT" w:hAnsi="Eurostile T OT" w:cs="Calibri"/>
                              <w:b/>
                              <w:bCs/>
                              <w:color w:val="F09100"/>
                              <w:sz w:val="32"/>
                              <w:szCs w:val="36"/>
                              <w:lang w:val="sk-SK"/>
                            </w:rPr>
                            <w:t>1</w:t>
                          </w:r>
                          <w:r>
                            <w:rPr>
                              <w:rFonts w:ascii="Eurostile T OT" w:hAnsi="Eurostile T OT" w:cs="Calibri"/>
                              <w:b/>
                              <w:bCs/>
                              <w:color w:val="F09100"/>
                              <w:sz w:val="32"/>
                              <w:szCs w:val="36"/>
                              <w:lang w:val="sk-SK"/>
                            </w:rPr>
                            <w:t>3</w:t>
                          </w:r>
                          <w:r>
                            <w:rPr>
                              <w:rFonts w:ascii="Eurostile T OT" w:hAnsi="Eurostile T OT" w:cs="Calibri"/>
                              <w:b/>
                              <w:bCs/>
                              <w:color w:val="F09100"/>
                              <w:sz w:val="32"/>
                              <w:szCs w:val="36"/>
                              <w:lang w:val="sk-SK"/>
                            </w:rPr>
                            <w:t>. 6. 2017</w:t>
                          </w:r>
                        </w:p>
                        <w:p w:rsidR="00FB38FB" w:rsidRDefault="00FB38FB" w:rsidP="00FB38FB">
                          <w:pPr>
                            <w:rPr>
                              <w:rFonts w:ascii="Eurostile T OT" w:hAnsi="Eurostile T OT" w:cs="Arial"/>
                              <w:b/>
                              <w:color w:val="007090"/>
                              <w:sz w:val="48"/>
                              <w:szCs w:val="3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.8pt;margin-top:27.65pt;width:395.1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" filled="f" stroked="f">
              <v:textbox inset="0,0,0,0">
                <w:txbxContent>
                  <w:p w:rsidR="00FB38FB" w:rsidRDefault="00FB38FB" w:rsidP="00FB38FB">
                    <w:pP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</w:pPr>
                    <w: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  <w:t xml:space="preserve">BRATISLAVA – </w:t>
                    </w:r>
                    <w: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  <w:t>Revízne postupy vo verejnom obstarávaní – aktuálna prax</w:t>
                    </w:r>
                    <w: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  <w:t xml:space="preserve"> </w:t>
                    </w:r>
                  </w:p>
                  <w:p w:rsidR="00FB38FB" w:rsidRDefault="00FB38FB" w:rsidP="00FB38FB">
                    <w:pP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</w:pPr>
                  </w:p>
                  <w:p w:rsidR="00FB38FB" w:rsidRDefault="00FB38FB" w:rsidP="00FB38FB">
                    <w:pPr>
                      <w:rPr>
                        <w:rFonts w:ascii="Eurostile T OT" w:hAnsi="Eurostile T OT" w:cs="Calibri"/>
                        <w:b/>
                        <w:bCs/>
                        <w:color w:val="F09100"/>
                        <w:sz w:val="32"/>
                        <w:szCs w:val="36"/>
                        <w:lang w:val="sk-SK"/>
                      </w:rPr>
                    </w:pPr>
                    <w:r>
                      <w:rPr>
                        <w:rFonts w:ascii="Eurostile T OT" w:hAnsi="Eurostile T OT" w:cs="Calibri"/>
                        <w:b/>
                        <w:bCs/>
                        <w:color w:val="F09100"/>
                        <w:sz w:val="32"/>
                        <w:szCs w:val="36"/>
                        <w:lang w:val="sk-SK"/>
                      </w:rPr>
                      <w:t>1</w:t>
                    </w:r>
                    <w:r>
                      <w:rPr>
                        <w:rFonts w:ascii="Eurostile T OT" w:hAnsi="Eurostile T OT" w:cs="Calibri"/>
                        <w:b/>
                        <w:bCs/>
                        <w:color w:val="F09100"/>
                        <w:sz w:val="32"/>
                        <w:szCs w:val="36"/>
                        <w:lang w:val="sk-SK"/>
                      </w:rPr>
                      <w:t>3</w:t>
                    </w:r>
                    <w:r>
                      <w:rPr>
                        <w:rFonts w:ascii="Eurostile T OT" w:hAnsi="Eurostile T OT" w:cs="Calibri"/>
                        <w:b/>
                        <w:bCs/>
                        <w:color w:val="F09100"/>
                        <w:sz w:val="32"/>
                        <w:szCs w:val="36"/>
                        <w:lang w:val="sk-SK"/>
                      </w:rPr>
                      <w:t>. 6. 2017</w:t>
                    </w:r>
                  </w:p>
                  <w:p w:rsidR="00FB38FB" w:rsidRDefault="00FB38FB" w:rsidP="00FB38FB">
                    <w:pPr>
                      <w:rPr>
                        <w:rFonts w:ascii="Eurostile T OT" w:hAnsi="Eurostile T OT" w:cs="Arial"/>
                        <w:b/>
                        <w:color w:val="007090"/>
                        <w:sz w:val="48"/>
                        <w:szCs w:val="32"/>
                        <w:lang w:val="sk-SK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A5008"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9B79F9"/>
    <w:multiLevelType w:val="multilevel"/>
    <w:tmpl w:val="20A606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95CB9"/>
    <w:multiLevelType w:val="multilevel"/>
    <w:tmpl w:val="F3AA528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0236B"/>
    <w:multiLevelType w:val="multilevel"/>
    <w:tmpl w:val="EDC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5143F"/>
    <w:multiLevelType w:val="multilevel"/>
    <w:tmpl w:val="F71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3"/>
  </w:num>
  <w:num w:numId="5">
    <w:abstractNumId w:val="4"/>
  </w:num>
  <w:num w:numId="6">
    <w:abstractNumId w:val="18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0"/>
  </w:num>
  <w:num w:numId="16">
    <w:abstractNumId w:val="17"/>
  </w:num>
  <w:num w:numId="17">
    <w:abstractNumId w:val="16"/>
  </w:num>
  <w:num w:numId="18">
    <w:abstractNumId w:val="8"/>
  </w:num>
  <w:num w:numId="19">
    <w:abstractNumId w:val="21"/>
  </w:num>
  <w:num w:numId="20">
    <w:abstractNumId w:val="5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C0C39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B204D"/>
    <w:rsid w:val="005B6F95"/>
    <w:rsid w:val="005C6ADC"/>
    <w:rsid w:val="00646AE9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515A8"/>
    <w:rsid w:val="00FA02D7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3"/>
    <o:shapelayout v:ext="edit">
      <o:idmap v:ext="edit" data="1"/>
    </o:shapelayout>
  </w:shapeDefaults>
  <w:decimalSymbol w:val=","/>
  <w:listSeparator w:val=";"/>
  <w15:docId w15:val="{12E5C15D-EB63-4EF3-826A-9791EB9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3</cp:revision>
  <cp:lastPrinted>2015-10-19T08:04:00Z</cp:lastPrinted>
  <dcterms:created xsi:type="dcterms:W3CDTF">2017-05-05T15:05:00Z</dcterms:created>
  <dcterms:modified xsi:type="dcterms:W3CDTF">2017-05-05T15:05:00Z</dcterms:modified>
</cp:coreProperties>
</file>