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85" w:rsidRPr="00D40DC0" w:rsidRDefault="00367525" w:rsidP="00E45D85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6582C" wp14:editId="6FA184DF">
                <wp:simplePos x="0" y="0"/>
                <wp:positionH relativeFrom="page">
                  <wp:posOffset>533400</wp:posOffset>
                </wp:positionH>
                <wp:positionV relativeFrom="page">
                  <wp:posOffset>466725</wp:posOffset>
                </wp:positionV>
                <wp:extent cx="4829175" cy="9334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41D" w:rsidRPr="007951F0" w:rsidRDefault="0041741D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6"/>
                                <w:szCs w:val="32"/>
                                <w:lang w:val="sk-SK"/>
                              </w:rPr>
                            </w:pPr>
                            <w:r w:rsidRPr="007951F0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6"/>
                                <w:szCs w:val="32"/>
                                <w:lang w:val="sk-SK"/>
                              </w:rPr>
                              <w:t xml:space="preserve">Register partnerov verejného sektora </w:t>
                            </w:r>
                          </w:p>
                          <w:p w:rsidR="0041741D" w:rsidRDefault="0041741D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565D8F" w:rsidRDefault="00565D8F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7579A4" w:rsidRPr="00303380" w:rsidRDefault="007951F0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26</w:t>
                            </w:r>
                            <w:r w:rsidR="00565D8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4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2A500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2017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6582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" filled="f" stroked="f">
                <v:textbox inset="0,0,0,0">
                  <w:txbxContent>
                    <w:p w:rsidR="0041741D" w:rsidRPr="007951F0" w:rsidRDefault="0041741D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6"/>
                          <w:szCs w:val="32"/>
                          <w:lang w:val="sk-SK"/>
                        </w:rPr>
                      </w:pPr>
                      <w:r w:rsidRPr="007951F0">
                        <w:rPr>
                          <w:rFonts w:ascii="Eurostile T OT" w:hAnsi="Eurostile T OT" w:cs="Calibri"/>
                          <w:b/>
                          <w:color w:val="92D050"/>
                          <w:sz w:val="36"/>
                          <w:szCs w:val="32"/>
                          <w:lang w:val="sk-SK"/>
                        </w:rPr>
                        <w:t xml:space="preserve">Register partnerov verejného sektora </w:t>
                      </w:r>
                    </w:p>
                    <w:p w:rsidR="0041741D" w:rsidRDefault="0041741D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</w:p>
                    <w:p w:rsidR="00565D8F" w:rsidRDefault="00565D8F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</w:p>
                    <w:p w:rsidR="007579A4" w:rsidRPr="00303380" w:rsidRDefault="007951F0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26</w:t>
                      </w:r>
                      <w:r w:rsidR="00565D8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.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4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2A500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2017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346A4" wp14:editId="3B69BD26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46A4"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5D8F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JUDr. Jaroslav Macek</w:t>
      </w:r>
    </w:p>
    <w:p w:rsidR="0041741D" w:rsidRPr="00565D8F" w:rsidRDefault="00565D8F" w:rsidP="00565D8F">
      <w:pPr>
        <w:jc w:val="both"/>
        <w:rPr>
          <w:rFonts w:ascii="Eurostile T OT" w:hAnsi="Eurostile T OT"/>
          <w:sz w:val="22"/>
          <w:szCs w:val="22"/>
        </w:rPr>
      </w:pPr>
      <w:r w:rsidRPr="00565D8F">
        <w:rPr>
          <w:rFonts w:ascii="Eurostile T OT" w:hAnsi="Eurostile T OT" w:cs="Calibri"/>
          <w:noProof/>
          <w:sz w:val="22"/>
          <w:szCs w:val="22"/>
          <w:lang w:val="sk-SK"/>
        </w:rPr>
        <w:t xml:space="preserve">Predseda okresného súdu v Žiline. </w:t>
      </w:r>
      <w:proofErr w:type="spellStart"/>
      <w:r w:rsidRPr="00565D8F">
        <w:rPr>
          <w:rFonts w:ascii="Eurostile T OT" w:hAnsi="Eurostile T OT"/>
          <w:sz w:val="22"/>
          <w:szCs w:val="22"/>
        </w:rPr>
        <w:t>Ako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sudca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obchodnoprávneho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úseku vybavuje </w:t>
      </w:r>
      <w:proofErr w:type="spellStart"/>
      <w:r w:rsidRPr="00565D8F">
        <w:rPr>
          <w:rFonts w:ascii="Eurostile T OT" w:hAnsi="Eurostile T OT"/>
          <w:sz w:val="22"/>
          <w:szCs w:val="22"/>
        </w:rPr>
        <w:t>konkurznú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agendu, </w:t>
      </w:r>
      <w:proofErr w:type="spellStart"/>
      <w:r w:rsidRPr="00565D8F">
        <w:rPr>
          <w:rFonts w:ascii="Eurostile T OT" w:hAnsi="Eurostile T OT"/>
          <w:sz w:val="22"/>
          <w:szCs w:val="22"/>
        </w:rPr>
        <w:t>incidenčné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spory a agendu obchodného </w:t>
      </w:r>
      <w:proofErr w:type="spellStart"/>
      <w:r w:rsidRPr="00565D8F">
        <w:rPr>
          <w:rFonts w:ascii="Eurostile T OT" w:hAnsi="Eurostile T OT"/>
          <w:sz w:val="22"/>
          <w:szCs w:val="22"/>
        </w:rPr>
        <w:t>registra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. </w:t>
      </w:r>
      <w:proofErr w:type="spellStart"/>
      <w:r w:rsidRPr="00565D8F">
        <w:rPr>
          <w:rFonts w:ascii="Eurostile T OT" w:hAnsi="Eurostile T OT"/>
          <w:sz w:val="22"/>
          <w:szCs w:val="22"/>
        </w:rPr>
        <w:t>Súčasne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je </w:t>
      </w:r>
      <w:proofErr w:type="spellStart"/>
      <w:r w:rsidRPr="00565D8F">
        <w:rPr>
          <w:rFonts w:ascii="Eurostile T OT" w:hAnsi="Eurostile T OT"/>
          <w:sz w:val="22"/>
          <w:szCs w:val="22"/>
        </w:rPr>
        <w:t>zodpovedný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aj za agendu </w:t>
      </w:r>
      <w:proofErr w:type="spellStart"/>
      <w:r w:rsidRPr="00565D8F">
        <w:rPr>
          <w:rFonts w:ascii="Eurostile T OT" w:hAnsi="Eurostile T OT"/>
          <w:sz w:val="22"/>
          <w:szCs w:val="22"/>
        </w:rPr>
        <w:t>Registra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partnerov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verejného </w:t>
      </w:r>
      <w:proofErr w:type="spellStart"/>
      <w:r w:rsidRPr="00565D8F">
        <w:rPr>
          <w:rFonts w:ascii="Eurostile T OT" w:hAnsi="Eurostile T OT"/>
          <w:sz w:val="22"/>
          <w:szCs w:val="22"/>
        </w:rPr>
        <w:t>sektora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. Zároveň </w:t>
      </w:r>
      <w:proofErr w:type="spellStart"/>
      <w:r w:rsidRPr="00565D8F">
        <w:rPr>
          <w:rFonts w:ascii="Eurostile T OT" w:hAnsi="Eurostile T OT"/>
          <w:sz w:val="22"/>
          <w:szCs w:val="22"/>
        </w:rPr>
        <w:t>sa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venuje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lektorskej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a </w:t>
      </w:r>
      <w:proofErr w:type="spellStart"/>
      <w:r w:rsidRPr="00565D8F">
        <w:rPr>
          <w:rFonts w:ascii="Eurostile T OT" w:hAnsi="Eurostile T OT"/>
          <w:sz w:val="22"/>
          <w:szCs w:val="22"/>
        </w:rPr>
        <w:t>prednáškovej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činnosti. </w:t>
      </w:r>
    </w:p>
    <w:p w:rsidR="00565D8F" w:rsidRDefault="00565D8F" w:rsidP="0041741D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</w:p>
    <w:p w:rsidR="0041741D" w:rsidRDefault="0041741D" w:rsidP="0041741D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</w:t>
      </w:r>
      <w:r w:rsidR="00565D8F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0</w:t>
      </w: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E45D85" w:rsidRDefault="00565D8F" w:rsidP="0041741D">
      <w:pPr>
        <w:rPr>
          <w:rFonts w:ascii="Eurostile T OT" w:hAnsi="Eurostile T OT" w:cs="Calibri"/>
          <w:bCs/>
          <w:sz w:val="22"/>
          <w:szCs w:val="22"/>
          <w:lang w:val="sk-SK"/>
        </w:rPr>
      </w:pPr>
      <w:r>
        <w:rPr>
          <w:rFonts w:ascii="Eurostile T OT" w:hAnsi="Eurostile T OT" w:cs="Calibri"/>
          <w:bCs/>
          <w:sz w:val="22"/>
          <w:szCs w:val="22"/>
          <w:lang w:val="sk-SK"/>
        </w:rPr>
        <w:t>Hote</w:t>
      </w:r>
      <w:r w:rsidR="007951F0">
        <w:rPr>
          <w:rFonts w:ascii="Eurostile T OT" w:hAnsi="Eurostile T OT" w:cs="Calibri"/>
          <w:bCs/>
          <w:sz w:val="22"/>
          <w:szCs w:val="22"/>
          <w:lang w:val="sk-SK"/>
        </w:rPr>
        <w:t>l SAFFRON, Radlinského 27, Bratislava</w:t>
      </w:r>
    </w:p>
    <w:p w:rsidR="00565D8F" w:rsidRDefault="00565D8F" w:rsidP="0041741D">
      <w:pPr>
        <w:rPr>
          <w:rFonts w:ascii="Eurostile T OT" w:hAnsi="Eurostile T OT" w:cs="Calibri"/>
          <w:bCs/>
          <w:sz w:val="22"/>
          <w:szCs w:val="22"/>
          <w:lang w:val="sk-SK"/>
        </w:rPr>
      </w:pPr>
    </w:p>
    <w:p w:rsidR="007579A4" w:rsidRPr="00303380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565D8F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4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565D8F" w:rsidRDefault="00565D8F" w:rsidP="00565D8F">
      <w:pPr>
        <w:autoSpaceDE w:val="0"/>
        <w:autoSpaceDN w:val="0"/>
        <w:adjustRightInd w:val="0"/>
        <w:spacing w:after="120"/>
        <w:jc w:val="both"/>
        <w:rPr>
          <w:rStyle w:val="Siln"/>
          <w:rFonts w:ascii="Eurostile T OT" w:hAnsi="Eurostile T OT"/>
          <w:sz w:val="22"/>
          <w:szCs w:val="22"/>
        </w:rPr>
      </w:pPr>
      <w:r w:rsidRPr="00565D8F">
        <w:rPr>
          <w:rFonts w:ascii="Eurostile T OT" w:hAnsi="Eurostile T OT"/>
          <w:sz w:val="22"/>
          <w:szCs w:val="22"/>
        </w:rPr>
        <w:t xml:space="preserve">Zákon o </w:t>
      </w:r>
      <w:proofErr w:type="spellStart"/>
      <w:r w:rsidRPr="00565D8F">
        <w:rPr>
          <w:rFonts w:ascii="Eurostile T OT" w:hAnsi="Eurostile T OT"/>
          <w:sz w:val="22"/>
          <w:szCs w:val="22"/>
        </w:rPr>
        <w:t>partneroch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verejného </w:t>
      </w:r>
      <w:proofErr w:type="spellStart"/>
      <w:r w:rsidRPr="00565D8F">
        <w:rPr>
          <w:rFonts w:ascii="Eurostile T OT" w:hAnsi="Eurostile T OT"/>
          <w:sz w:val="22"/>
          <w:szCs w:val="22"/>
        </w:rPr>
        <w:t>sektora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, </w:t>
      </w:r>
      <w:r>
        <w:rPr>
          <w:rFonts w:ascii="Eurostile T OT" w:hAnsi="Eurostile T OT"/>
          <w:sz w:val="22"/>
          <w:szCs w:val="22"/>
        </w:rPr>
        <w:t>tzv.</w:t>
      </w:r>
      <w:r w:rsidRPr="00565D8F">
        <w:rPr>
          <w:rFonts w:ascii="Eurostile T OT" w:hAnsi="Eurostile T OT"/>
          <w:sz w:val="22"/>
          <w:szCs w:val="22"/>
        </w:rPr>
        <w:t> 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protischránkový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zákon, je účinný od 1.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februára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2017</w:t>
      </w:r>
      <w:r w:rsidRPr="00565D8F">
        <w:rPr>
          <w:rFonts w:ascii="Eurostile T OT" w:hAnsi="Eurostile T OT"/>
          <w:sz w:val="22"/>
          <w:szCs w:val="22"/>
        </w:rPr>
        <w:t xml:space="preserve">. V praxi to znamená, že každý nový partner verejného </w:t>
      </w:r>
      <w:proofErr w:type="spellStart"/>
      <w:r w:rsidRPr="00565D8F">
        <w:rPr>
          <w:rFonts w:ascii="Eurostile T OT" w:hAnsi="Eurostile T OT"/>
          <w:sz w:val="22"/>
          <w:szCs w:val="22"/>
        </w:rPr>
        <w:t>sektora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, </w:t>
      </w:r>
      <w:proofErr w:type="spellStart"/>
      <w:r w:rsidRPr="00565D8F">
        <w:rPr>
          <w:rFonts w:ascii="Eurostile T OT" w:hAnsi="Eurostile T OT"/>
          <w:sz w:val="22"/>
          <w:szCs w:val="22"/>
        </w:rPr>
        <w:t>ktorým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je </w:t>
      </w:r>
      <w:proofErr w:type="spellStart"/>
      <w:r w:rsidRPr="00565D8F">
        <w:rPr>
          <w:rFonts w:ascii="Eurostile T OT" w:hAnsi="Eurostile T OT"/>
          <w:sz w:val="22"/>
          <w:szCs w:val="22"/>
        </w:rPr>
        <w:t>akákoľvek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fyzická </w:t>
      </w:r>
      <w:proofErr w:type="spellStart"/>
      <w:r w:rsidRPr="00565D8F">
        <w:rPr>
          <w:rFonts w:ascii="Eurostile T OT" w:hAnsi="Eurostile T OT"/>
          <w:sz w:val="22"/>
          <w:szCs w:val="22"/>
        </w:rPr>
        <w:t>alebo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právnická osoba, </w:t>
      </w:r>
      <w:proofErr w:type="spellStart"/>
      <w:r w:rsidRPr="00565D8F">
        <w:rPr>
          <w:rFonts w:ascii="Eurostile T OT" w:hAnsi="Eurostile T OT"/>
          <w:sz w:val="22"/>
          <w:szCs w:val="22"/>
        </w:rPr>
        <w:t>ktorá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prijíma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peňažné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prostriedky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, </w:t>
      </w:r>
      <w:proofErr w:type="spellStart"/>
      <w:r w:rsidRPr="00565D8F">
        <w:rPr>
          <w:rFonts w:ascii="Eurostile T OT" w:hAnsi="Eurostile T OT"/>
          <w:sz w:val="22"/>
          <w:szCs w:val="22"/>
        </w:rPr>
        <w:t>majetok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alebo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iné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majetkové práva z </w:t>
      </w:r>
      <w:proofErr w:type="spellStart"/>
      <w:r w:rsidRPr="00565D8F">
        <w:rPr>
          <w:rFonts w:ascii="Eurostile T OT" w:hAnsi="Eurostile T OT"/>
          <w:sz w:val="22"/>
          <w:szCs w:val="22"/>
        </w:rPr>
        <w:t>verejných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zdrojov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(</w:t>
      </w:r>
      <w:proofErr w:type="spellStart"/>
      <w:r w:rsidRPr="00565D8F">
        <w:rPr>
          <w:rFonts w:ascii="Eurostile T OT" w:hAnsi="Eurostile T OT"/>
          <w:sz w:val="22"/>
          <w:szCs w:val="22"/>
        </w:rPr>
        <w:t>napr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. </w:t>
      </w:r>
      <w:proofErr w:type="spellStart"/>
      <w:r w:rsidRPr="00565D8F">
        <w:rPr>
          <w:rFonts w:ascii="Eurostile T OT" w:hAnsi="Eurostile T OT"/>
          <w:sz w:val="22"/>
          <w:szCs w:val="22"/>
        </w:rPr>
        <w:t>zo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štátneho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a obecných </w:t>
      </w:r>
      <w:proofErr w:type="spellStart"/>
      <w:r w:rsidRPr="00565D8F">
        <w:rPr>
          <w:rFonts w:ascii="Eurostile T OT" w:hAnsi="Eurostile T OT"/>
          <w:sz w:val="22"/>
          <w:szCs w:val="22"/>
        </w:rPr>
        <w:t>rozpočtov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, </w:t>
      </w:r>
      <w:proofErr w:type="spellStart"/>
      <w:r w:rsidRPr="00565D8F">
        <w:rPr>
          <w:rFonts w:ascii="Eurostile T OT" w:hAnsi="Eurostile T OT"/>
          <w:sz w:val="22"/>
          <w:szCs w:val="22"/>
        </w:rPr>
        <w:t>eurofondov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vrátane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štátnej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pomoci), </w:t>
      </w:r>
      <w:proofErr w:type="spellStart"/>
      <w:r w:rsidRPr="00565D8F">
        <w:rPr>
          <w:rFonts w:ascii="Eurostile T OT" w:hAnsi="Eurostile T OT"/>
          <w:sz w:val="22"/>
          <w:szCs w:val="22"/>
        </w:rPr>
        <w:t>sa</w:t>
      </w:r>
      <w:proofErr w:type="spellEnd"/>
      <w:r w:rsidRPr="00565D8F">
        <w:rPr>
          <w:rFonts w:ascii="Eurostile T OT" w:hAnsi="Eurostile T OT"/>
          <w:sz w:val="22"/>
          <w:szCs w:val="22"/>
        </w:rPr>
        <w:t> </w:t>
      </w:r>
      <w:proofErr w:type="spellStart"/>
      <w:r w:rsidRPr="00565D8F">
        <w:rPr>
          <w:rFonts w:ascii="Eurostile T OT" w:hAnsi="Eurostile T OT"/>
          <w:sz w:val="22"/>
          <w:szCs w:val="22"/>
        </w:rPr>
        <w:t>pred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podpisom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zmluvy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musí </w:t>
      </w:r>
      <w:proofErr w:type="spellStart"/>
      <w:r w:rsidRPr="00565D8F">
        <w:rPr>
          <w:rFonts w:ascii="Eurostile T OT" w:hAnsi="Eurostile T OT"/>
          <w:sz w:val="22"/>
          <w:szCs w:val="22"/>
        </w:rPr>
        <w:t>registrovať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do </w:t>
      </w:r>
      <w:proofErr w:type="spellStart"/>
      <w:r w:rsidRPr="00565D8F">
        <w:rPr>
          <w:rFonts w:ascii="Eurostile T OT" w:hAnsi="Eurostile T OT"/>
          <w:sz w:val="22"/>
          <w:szCs w:val="22"/>
        </w:rPr>
        <w:t>novozriadeného</w:t>
      </w:r>
      <w:proofErr w:type="spellEnd"/>
      <w:r w:rsidRPr="00565D8F">
        <w:rPr>
          <w:rFonts w:ascii="Eurostile T OT" w:hAnsi="Eurostile T OT"/>
          <w:sz w:val="22"/>
          <w:szCs w:val="22"/>
        </w:rPr>
        <w:t> 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registra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partnerov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verejného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sektora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. </w:t>
      </w:r>
      <w:proofErr w:type="spellStart"/>
      <w:r w:rsidRPr="00565D8F">
        <w:rPr>
          <w:rFonts w:ascii="Eurostile T OT" w:hAnsi="Eurostile T OT"/>
          <w:sz w:val="22"/>
          <w:szCs w:val="22"/>
        </w:rPr>
        <w:t>Tí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, </w:t>
      </w:r>
      <w:proofErr w:type="spellStart"/>
      <w:r w:rsidRPr="00565D8F">
        <w:rPr>
          <w:rFonts w:ascii="Eurostile T OT" w:hAnsi="Eurostile T OT"/>
          <w:sz w:val="22"/>
          <w:szCs w:val="22"/>
        </w:rPr>
        <w:t>ktorí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už </w:t>
      </w:r>
      <w:proofErr w:type="spellStart"/>
      <w:r w:rsidRPr="00565D8F">
        <w:rPr>
          <w:rFonts w:ascii="Eurostile T OT" w:hAnsi="Eurostile T OT"/>
          <w:sz w:val="22"/>
          <w:szCs w:val="22"/>
        </w:rPr>
        <w:t>peniaze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z </w:t>
      </w:r>
      <w:proofErr w:type="spellStart"/>
      <w:r w:rsidRPr="00565D8F">
        <w:rPr>
          <w:rFonts w:ascii="Eurostile T OT" w:hAnsi="Eurostile T OT"/>
          <w:sz w:val="22"/>
          <w:szCs w:val="22"/>
        </w:rPr>
        <w:t>verejných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zdrojov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čerpajú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, </w:t>
      </w:r>
      <w:proofErr w:type="spellStart"/>
      <w:r w:rsidRPr="00565D8F">
        <w:rPr>
          <w:rFonts w:ascii="Eurostile T OT" w:hAnsi="Eurostile T OT"/>
          <w:sz w:val="22"/>
          <w:szCs w:val="22"/>
        </w:rPr>
        <w:t>musia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splniť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túto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povinnosť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r w:rsidRPr="00565D8F">
        <w:rPr>
          <w:rStyle w:val="Siln"/>
          <w:rFonts w:ascii="Eurostile T OT" w:hAnsi="Eurostile T OT"/>
          <w:sz w:val="22"/>
          <w:szCs w:val="22"/>
        </w:rPr>
        <w:t xml:space="preserve">do 31. 7. 2017,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inak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im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bude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plnenie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z 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verejných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zdrojov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odopreté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a 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hrozia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i 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ďalšie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sankcie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. </w:t>
      </w:r>
    </w:p>
    <w:p w:rsidR="00565D8F" w:rsidRPr="00565D8F" w:rsidRDefault="00565D8F" w:rsidP="00565D8F">
      <w:pPr>
        <w:numPr>
          <w:ilvl w:val="0"/>
          <w:numId w:val="18"/>
        </w:numPr>
        <w:spacing w:before="100" w:beforeAutospacing="1" w:after="100" w:afterAutospacing="1"/>
        <w:rPr>
          <w:rFonts w:ascii="Eurostile T OT" w:hAnsi="Eurostile T OT"/>
          <w:lang w:eastAsia="sk-SK"/>
        </w:rPr>
      </w:pPr>
      <w:proofErr w:type="spellStart"/>
      <w:r w:rsidRPr="00565D8F">
        <w:rPr>
          <w:rFonts w:ascii="Eurostile T OT" w:hAnsi="Eurostile T OT"/>
        </w:rPr>
        <w:t>Koncepcia</w:t>
      </w:r>
      <w:proofErr w:type="spellEnd"/>
      <w:r w:rsidRPr="00565D8F">
        <w:rPr>
          <w:rFonts w:ascii="Eurostile T OT" w:hAnsi="Eurostile T OT"/>
        </w:rPr>
        <w:t xml:space="preserve"> RPVS</w:t>
      </w:r>
    </w:p>
    <w:p w:rsidR="00565D8F" w:rsidRPr="00565D8F" w:rsidRDefault="00565D8F" w:rsidP="00565D8F">
      <w:pPr>
        <w:numPr>
          <w:ilvl w:val="0"/>
          <w:numId w:val="18"/>
        </w:numPr>
        <w:spacing w:before="100" w:beforeAutospacing="1" w:after="100" w:afterAutospacing="1"/>
        <w:rPr>
          <w:rFonts w:ascii="Eurostile T OT" w:hAnsi="Eurostile T OT"/>
        </w:rPr>
      </w:pPr>
      <w:r w:rsidRPr="00565D8F">
        <w:rPr>
          <w:rFonts w:ascii="Eurostile T OT" w:hAnsi="Eurostile T OT"/>
        </w:rPr>
        <w:t xml:space="preserve">Druhy </w:t>
      </w:r>
      <w:proofErr w:type="spellStart"/>
      <w:r w:rsidRPr="00565D8F">
        <w:rPr>
          <w:rFonts w:ascii="Eurostile T OT" w:hAnsi="Eurostile T OT"/>
        </w:rPr>
        <w:t>súdnych</w:t>
      </w:r>
      <w:proofErr w:type="spellEnd"/>
      <w:r w:rsidRPr="00565D8F">
        <w:rPr>
          <w:rFonts w:ascii="Eurostile T OT" w:hAnsi="Eurostile T OT"/>
        </w:rPr>
        <w:t xml:space="preserve"> konaní </w:t>
      </w:r>
      <w:proofErr w:type="spellStart"/>
      <w:r w:rsidRPr="00565D8F">
        <w:rPr>
          <w:rFonts w:ascii="Eurostile T OT" w:hAnsi="Eurostile T OT"/>
        </w:rPr>
        <w:t>týkajúcich</w:t>
      </w:r>
      <w:proofErr w:type="spellEnd"/>
      <w:r w:rsidRPr="00565D8F">
        <w:rPr>
          <w:rFonts w:ascii="Eurostile T OT" w:hAnsi="Eurostile T OT"/>
        </w:rPr>
        <w:t xml:space="preserve"> </w:t>
      </w:r>
      <w:proofErr w:type="spellStart"/>
      <w:r w:rsidRPr="00565D8F">
        <w:rPr>
          <w:rFonts w:ascii="Eurostile T OT" w:hAnsi="Eurostile T OT"/>
        </w:rPr>
        <w:t>sa</w:t>
      </w:r>
      <w:proofErr w:type="spellEnd"/>
      <w:r w:rsidRPr="00565D8F">
        <w:rPr>
          <w:rFonts w:ascii="Eurostile T OT" w:hAnsi="Eurostile T OT"/>
        </w:rPr>
        <w:t xml:space="preserve"> RPVS</w:t>
      </w:r>
    </w:p>
    <w:p w:rsidR="00565D8F" w:rsidRPr="00565D8F" w:rsidRDefault="00565D8F" w:rsidP="00565D8F">
      <w:pPr>
        <w:numPr>
          <w:ilvl w:val="0"/>
          <w:numId w:val="18"/>
        </w:numPr>
        <w:spacing w:before="100" w:beforeAutospacing="1" w:after="100" w:afterAutospacing="1"/>
        <w:rPr>
          <w:rFonts w:ascii="Eurostile T OT" w:hAnsi="Eurostile T OT"/>
        </w:rPr>
      </w:pPr>
      <w:proofErr w:type="spellStart"/>
      <w:r w:rsidRPr="00565D8F">
        <w:rPr>
          <w:rFonts w:ascii="Eurostile T OT" w:hAnsi="Eurostile T OT"/>
        </w:rPr>
        <w:t>Najčastejšie</w:t>
      </w:r>
      <w:proofErr w:type="spellEnd"/>
      <w:r w:rsidRPr="00565D8F">
        <w:rPr>
          <w:rFonts w:ascii="Eurostile T OT" w:hAnsi="Eurostile T OT"/>
        </w:rPr>
        <w:t xml:space="preserve">  chyby </w:t>
      </w:r>
      <w:proofErr w:type="spellStart"/>
      <w:r w:rsidRPr="00565D8F">
        <w:rPr>
          <w:rFonts w:ascii="Eurostile T OT" w:hAnsi="Eurostile T OT"/>
        </w:rPr>
        <w:t>návrhov</w:t>
      </w:r>
      <w:proofErr w:type="spellEnd"/>
      <w:r w:rsidRPr="00565D8F">
        <w:rPr>
          <w:rFonts w:ascii="Eurostile T OT" w:hAnsi="Eurostile T OT"/>
        </w:rPr>
        <w:t xml:space="preserve"> na zápis do RPVS – praktické </w:t>
      </w:r>
      <w:proofErr w:type="spellStart"/>
      <w:r w:rsidRPr="00565D8F">
        <w:rPr>
          <w:rFonts w:ascii="Eurostile T OT" w:hAnsi="Eurostile T OT"/>
        </w:rPr>
        <w:t>skúsenosti</w:t>
      </w:r>
      <w:proofErr w:type="spellEnd"/>
    </w:p>
    <w:p w:rsidR="00565D8F" w:rsidRPr="00565D8F" w:rsidRDefault="00565D8F" w:rsidP="00565D8F">
      <w:pPr>
        <w:numPr>
          <w:ilvl w:val="0"/>
          <w:numId w:val="18"/>
        </w:numPr>
        <w:spacing w:before="100" w:beforeAutospacing="1" w:after="100" w:afterAutospacing="1"/>
        <w:rPr>
          <w:rFonts w:ascii="Eurostile T OT" w:hAnsi="Eurostile T OT"/>
        </w:rPr>
      </w:pPr>
      <w:proofErr w:type="spellStart"/>
      <w:r w:rsidRPr="00565D8F">
        <w:rPr>
          <w:rFonts w:ascii="Eurostile T OT" w:hAnsi="Eurostile T OT"/>
        </w:rPr>
        <w:t>Diskusia</w:t>
      </w:r>
      <w:proofErr w:type="spellEnd"/>
      <w:r w:rsidRPr="00565D8F">
        <w:rPr>
          <w:rFonts w:ascii="Eurostile T OT" w:hAnsi="Eurostile T OT"/>
        </w:rPr>
        <w:t>.</w:t>
      </w:r>
    </w:p>
    <w:p w:rsidR="00565D8F" w:rsidRDefault="00565D8F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565D8F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</w:p>
    <w:p w:rsidR="007579A4" w:rsidRPr="0041792F" w:rsidRDefault="002A5008" w:rsidP="0041792F">
      <w:pPr>
        <w:autoSpaceDE w:val="0"/>
        <w:autoSpaceDN w:val="0"/>
        <w:adjustRightInd w:val="0"/>
        <w:spacing w:after="120"/>
        <w:jc w:val="both"/>
        <w:rPr>
          <w:rFonts w:ascii="Eurostile T OT" w:hAnsi="Eurostile T OT" w:cs="Calibri"/>
          <w:b/>
          <w:color w:val="F0910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Termín kona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: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951F0">
        <w:rPr>
          <w:rFonts w:ascii="Eurostile T OT" w:hAnsi="Eurostile T OT" w:cs="Calibri"/>
          <w:color w:val="404040"/>
          <w:sz w:val="22"/>
          <w:szCs w:val="22"/>
          <w:lang w:val="sk-SK"/>
        </w:rPr>
        <w:t>26</w:t>
      </w:r>
      <w:r w:rsidR="00565D8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 </w:t>
      </w:r>
      <w:r w:rsidR="007951F0">
        <w:rPr>
          <w:rFonts w:ascii="Eurostile T OT" w:hAnsi="Eurostile T OT" w:cs="Calibri"/>
          <w:color w:val="404040"/>
          <w:sz w:val="22"/>
          <w:szCs w:val="22"/>
          <w:lang w:val="sk-SK"/>
        </w:rPr>
        <w:t>4</w:t>
      </w:r>
      <w:bookmarkStart w:id="0" w:name="_GoBack"/>
      <w:bookmarkEnd w:id="0"/>
      <w:r w:rsidR="00C45893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2017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Počet osô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b: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..………………………….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..…………………………..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no:…………………………………………………………………………………………………………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sto……….…………..</w:t>
      </w:r>
      <w:r w:rsidR="00565D8F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</w:t>
      </w:r>
      <w:r w:rsidR="00565D8F">
        <w:rPr>
          <w:rFonts w:ascii="Eurostile T OT" w:hAnsi="Eurostile T OT" w:cs="Calibri"/>
          <w:color w:val="404040"/>
          <w:sz w:val="22"/>
          <w:szCs w:val="22"/>
          <w:lang w:val="sk-SK"/>
        </w:rPr>
        <w:t>............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……………………………….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Tel.: ……………………………………………………………………………..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………………………………………………………………</w:t>
      </w:r>
    </w:p>
    <w:p w:rsidR="0018052E" w:rsidRPr="00303380" w:rsidRDefault="0018052E" w:rsidP="007579A4">
      <w:pPr>
        <w:rPr>
          <w:rFonts w:ascii="Eurostile T OT" w:hAnsi="Eurostile T OT" w:cs="Calibri"/>
          <w:color w:val="404040"/>
          <w:lang w:val="sk-SK"/>
        </w:rPr>
      </w:pPr>
    </w:p>
    <w:p w:rsidR="002A5008" w:rsidRPr="008F6954" w:rsidRDefault="003A3F4D" w:rsidP="002A5008">
      <w:pPr>
        <w:jc w:val="both"/>
        <w:rPr>
          <w:rFonts w:ascii="Eurostile T OT" w:hAnsi="Eurostile T OT" w:cs="Calibri"/>
          <w:b/>
          <w:color w:val="FF0000"/>
          <w:sz w:val="18"/>
          <w:szCs w:val="18"/>
          <w:lang w:val="sk-SK"/>
        </w:rPr>
      </w:pPr>
      <w:r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Cena za 1 </w:t>
      </w:r>
      <w:r w:rsidR="00E45D85">
        <w:rPr>
          <w:rFonts w:ascii="Eurostile T OT" w:hAnsi="Eurostile T OT" w:cs="Calibri"/>
          <w:color w:val="000000"/>
          <w:sz w:val="18"/>
          <w:szCs w:val="18"/>
          <w:lang w:val="sk-SK"/>
        </w:rPr>
        <w:t>osobu 12</w:t>
      </w:r>
      <w:r w:rsidR="00565D8F">
        <w:rPr>
          <w:rFonts w:ascii="Eurostile T OT" w:hAnsi="Eurostile T OT" w:cs="Calibri"/>
          <w:color w:val="000000"/>
          <w:sz w:val="18"/>
          <w:szCs w:val="18"/>
          <w:lang w:val="sk-SK"/>
        </w:rPr>
        <w:t>0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8F6954">
        <w:rPr>
          <w:rFonts w:ascii="Eurostile T OT" w:hAnsi="Eurostile T OT" w:cs="Calibri"/>
          <w:b/>
          <w:color w:val="FF0000"/>
          <w:sz w:val="18"/>
          <w:szCs w:val="18"/>
          <w:lang w:val="sk-SK"/>
        </w:rPr>
        <w:t xml:space="preserve">Nezaplatenie zálohovej faktúry nie je považované za riadne storno prihlášky! </w:t>
      </w:r>
    </w:p>
    <w:p w:rsidR="0041792F" w:rsidRDefault="002A5008" w:rsidP="0041792F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303380" w:rsidRDefault="002A5008" w:rsidP="0041792F">
      <w:pPr>
        <w:jc w:val="center"/>
        <w:rPr>
          <w:rFonts w:ascii="Eurostile T OT" w:hAnsi="Eurostile T OT" w:cs="Calibri"/>
          <w:b/>
          <w:color w:val="000000"/>
          <w:sz w:val="20"/>
          <w:szCs w:val="18"/>
          <w:u w:val="single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303380" w:rsidSect="009125CD">
      <w:headerReference w:type="default" r:id="rId7"/>
      <w:footerReference w:type="default" r:id="rId8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7BB19F5F" wp14:editId="683BEFD4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2A500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D74"/>
    <w:multiLevelType w:val="hybridMultilevel"/>
    <w:tmpl w:val="D1729C3A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417C"/>
    <w:multiLevelType w:val="hybridMultilevel"/>
    <w:tmpl w:val="0C9C2F7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22F2B03"/>
    <w:multiLevelType w:val="multilevel"/>
    <w:tmpl w:val="A11C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3"/>
  </w:num>
  <w:num w:numId="5">
    <w:abstractNumId w:val="6"/>
  </w:num>
  <w:num w:numId="6">
    <w:abstractNumId w:val="16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17"/>
  </w:num>
  <w:num w:numId="16">
    <w:abstractNumId w:val="5"/>
  </w:num>
  <w:num w:numId="17">
    <w:abstractNumId w:val="0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821C0"/>
    <w:rsid w:val="000B70FF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303380"/>
    <w:rsid w:val="00367525"/>
    <w:rsid w:val="003A3F4D"/>
    <w:rsid w:val="003B6491"/>
    <w:rsid w:val="003B7C44"/>
    <w:rsid w:val="003C48CB"/>
    <w:rsid w:val="003F7B43"/>
    <w:rsid w:val="0040380B"/>
    <w:rsid w:val="0041741D"/>
    <w:rsid w:val="0041792F"/>
    <w:rsid w:val="00436A16"/>
    <w:rsid w:val="00446C12"/>
    <w:rsid w:val="0048271F"/>
    <w:rsid w:val="004954A0"/>
    <w:rsid w:val="004A6BB1"/>
    <w:rsid w:val="00506234"/>
    <w:rsid w:val="005108CD"/>
    <w:rsid w:val="00510C0B"/>
    <w:rsid w:val="005531B4"/>
    <w:rsid w:val="00565D8F"/>
    <w:rsid w:val="005B6F95"/>
    <w:rsid w:val="005C6ADC"/>
    <w:rsid w:val="00651598"/>
    <w:rsid w:val="006757B3"/>
    <w:rsid w:val="00695F54"/>
    <w:rsid w:val="006A46BA"/>
    <w:rsid w:val="006E14F9"/>
    <w:rsid w:val="00703ACB"/>
    <w:rsid w:val="00741FB0"/>
    <w:rsid w:val="007579A4"/>
    <w:rsid w:val="00771F25"/>
    <w:rsid w:val="007951F0"/>
    <w:rsid w:val="007C4D6F"/>
    <w:rsid w:val="007F49E4"/>
    <w:rsid w:val="008409FC"/>
    <w:rsid w:val="008C1B3D"/>
    <w:rsid w:val="008E6627"/>
    <w:rsid w:val="008E7EC7"/>
    <w:rsid w:val="008F6954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C5300"/>
    <w:rsid w:val="00AD3035"/>
    <w:rsid w:val="00B12B82"/>
    <w:rsid w:val="00B13AC9"/>
    <w:rsid w:val="00B36C1F"/>
    <w:rsid w:val="00B62CF6"/>
    <w:rsid w:val="00B63263"/>
    <w:rsid w:val="00B73CA3"/>
    <w:rsid w:val="00BA66E0"/>
    <w:rsid w:val="00BC31AB"/>
    <w:rsid w:val="00BF27E6"/>
    <w:rsid w:val="00BF2F65"/>
    <w:rsid w:val="00C253D7"/>
    <w:rsid w:val="00C45893"/>
    <w:rsid w:val="00C824BC"/>
    <w:rsid w:val="00C946F1"/>
    <w:rsid w:val="00CA633E"/>
    <w:rsid w:val="00CC3DC9"/>
    <w:rsid w:val="00CC5B4A"/>
    <w:rsid w:val="00CE520C"/>
    <w:rsid w:val="00D2647B"/>
    <w:rsid w:val="00D64C6C"/>
    <w:rsid w:val="00D71269"/>
    <w:rsid w:val="00D763CB"/>
    <w:rsid w:val="00D87340"/>
    <w:rsid w:val="00E45D85"/>
    <w:rsid w:val="00E5176E"/>
    <w:rsid w:val="00E64E5F"/>
    <w:rsid w:val="00EB01D0"/>
    <w:rsid w:val="00EC1401"/>
    <w:rsid w:val="00EC6AE5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5E21643E-1804-4E03-9171-53FBB8AE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2</cp:revision>
  <cp:lastPrinted>2015-10-19T08:04:00Z</cp:lastPrinted>
  <dcterms:created xsi:type="dcterms:W3CDTF">2017-03-24T13:06:00Z</dcterms:created>
  <dcterms:modified xsi:type="dcterms:W3CDTF">2017-03-24T13:06:00Z</dcterms:modified>
</cp:coreProperties>
</file>