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20210E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0249" wp14:editId="49F36CE8">
                <wp:simplePos x="0" y="0"/>
                <wp:positionH relativeFrom="page">
                  <wp:posOffset>533400</wp:posOffset>
                </wp:positionH>
                <wp:positionV relativeFrom="page">
                  <wp:posOffset>561975</wp:posOffset>
                </wp:positionV>
                <wp:extent cx="4829175" cy="7334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10E" w:rsidRDefault="0020210E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20210E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Register partnerov verejného sektora – praktický pohľad oprávnenej osoby </w:t>
                            </w:r>
                          </w:p>
                          <w:p w:rsidR="007579A4" w:rsidRPr="00303380" w:rsidRDefault="0020210E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31</w:t>
                            </w:r>
                            <w:r w:rsidR="0092711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F9490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44.25pt;width:380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" filled="f" stroked="f">
                <v:textbox inset="0,0,0,0">
                  <w:txbxContent>
                    <w:p w:rsidR="0020210E" w:rsidRDefault="0020210E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20210E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Register partnerov verejného sektora – praktický pohľad oprávnenej osoby </w:t>
                      </w:r>
                    </w:p>
                    <w:p w:rsidR="007579A4" w:rsidRPr="00303380" w:rsidRDefault="0020210E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31</w:t>
                      </w:r>
                      <w:r w:rsidR="0092711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F9490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D794" wp14:editId="674C0455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27E6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 xml:space="preserve">Mgr. </w:t>
      </w: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Ján Kapec</w:t>
      </w:r>
    </w:p>
    <w:p w:rsidR="0020210E" w:rsidRDefault="0020210E" w:rsidP="0020210E">
      <w:pPr>
        <w:jc w:val="both"/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</w:pPr>
      <w:r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a</w:t>
      </w:r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dvokát, ktorý od roku 2010 pôsobí v najväčšej česko-slovenskej advokátskej kancelárie Havel,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Holásek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&amp; Partners s.r.o. Venuje sa najmä problematike verejného obstarávania a PPP projektov, sporovej agendy a právu nehnuteľností. poskytoval v rámci svojej špecializácie právne poradenstvo tak na strane uchádzačov  ako aj na strane verejných obstarávateľov  a obstarávateľov.</w:t>
      </w:r>
    </w:p>
    <w:p w:rsidR="0020210E" w:rsidRDefault="0020210E" w:rsidP="0020210E">
      <w:pPr>
        <w:jc w:val="both"/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Mgr. Dušan Predný</w:t>
      </w:r>
    </w:p>
    <w:p w:rsidR="0020210E" w:rsidRDefault="0020210E" w:rsidP="0020210E">
      <w:pPr>
        <w:jc w:val="both"/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</w:pPr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advokát advokátskej kancelárie Havel,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Holásek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&amp; Partners. Zameriava sa na akvizície a predaj spoločností, vrátane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due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dilligence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a prípravy transakčnej dokumentácie, ako aj právo obchodných spoločností vrátane ich r</w:t>
      </w:r>
      <w:r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eorganizácie. </w:t>
      </w:r>
    </w:p>
    <w:p w:rsidR="0020210E" w:rsidRPr="0020210E" w:rsidRDefault="0020210E" w:rsidP="0020210E">
      <w:pPr>
        <w:jc w:val="both"/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</w:pPr>
    </w:p>
    <w:p w:rsidR="007579A4" w:rsidRPr="00303380" w:rsidRDefault="0020210E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78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2021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2:3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20210E" w:rsidRPr="0020210E" w:rsidRDefault="0020210E" w:rsidP="0020210E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20210E">
        <w:rPr>
          <w:rFonts w:ascii="Eurostile T OT" w:hAnsi="Eurostile T OT" w:cs="Calibri"/>
          <w:bCs/>
          <w:color w:val="404040" w:themeColor="text1" w:themeTint="BF"/>
          <w:lang w:val="sk-SK"/>
        </w:rPr>
        <w:t>Od 1. 2. 2017 nadobudol na Slovensku účinnosť zákon č. 315/2016 Z. z. o registri partnerov verejného sektora a o zmene a doplnení niektorých zákonov („Zákon“), účelom ktorého je zavedenie registra partnerov verejného</w:t>
      </w:r>
      <w:r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 </w:t>
      </w:r>
      <w:r w:rsidRPr="0020210E">
        <w:rPr>
          <w:rFonts w:ascii="Eurostile T OT" w:hAnsi="Eurostile T OT" w:cs="Calibri"/>
          <w:bCs/>
          <w:color w:val="404040" w:themeColor="text1" w:themeTint="BF"/>
          <w:lang w:val="sk-SK"/>
        </w:rPr>
        <w:t>sektora („Register“) s cieľom vymedziť požiadavky na subjekty, s ktorými vstupuje štát a subjekty verejného práva do právnych v</w:t>
      </w:r>
      <w:r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zťahov. </w:t>
      </w:r>
    </w:p>
    <w:p w:rsidR="0020210E" w:rsidRPr="0020210E" w:rsidRDefault="0020210E" w:rsidP="0020210E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20210E">
        <w:rPr>
          <w:rFonts w:ascii="Eurostile T OT" w:hAnsi="Eurostile T OT"/>
          <w:lang w:val="sk-SK"/>
        </w:rPr>
        <w:t xml:space="preserve">Predstavenie Zákona a jeho základných inštitútov, ako aj zhrnutie súvisiacich povinností partnerov verejného sektora </w:t>
      </w:r>
    </w:p>
    <w:p w:rsidR="0020210E" w:rsidRPr="0020210E" w:rsidRDefault="0020210E" w:rsidP="0020210E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20210E">
        <w:rPr>
          <w:rFonts w:ascii="Eurostile T OT" w:hAnsi="Eurostile T OT"/>
          <w:lang w:val="sk-SK"/>
        </w:rPr>
        <w:t xml:space="preserve">Registrácia v Registra – praktická ukážka registrácie z pohľadu oprávnenej osoby  </w:t>
      </w:r>
    </w:p>
    <w:p w:rsidR="0020210E" w:rsidRPr="0020210E" w:rsidRDefault="0020210E" w:rsidP="0020210E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20210E">
        <w:rPr>
          <w:rFonts w:ascii="Eurostile T OT" w:hAnsi="Eurostile T OT"/>
          <w:lang w:val="sk-SK"/>
        </w:rPr>
        <w:t xml:space="preserve">Pátranie po konečnom užívateľovi výhod („KUV“) - spôsob identifikácie KUV z pohľadu oprávnenej osoby   </w:t>
      </w:r>
    </w:p>
    <w:p w:rsidR="0020210E" w:rsidRPr="0020210E" w:rsidRDefault="0020210E" w:rsidP="0020210E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20210E">
        <w:rPr>
          <w:rFonts w:ascii="Eurostile T OT" w:hAnsi="Eurostile T OT"/>
          <w:lang w:val="sk-SK"/>
        </w:rPr>
        <w:t>Najčastejšie  nedostatky návrhov na zápis do Registra</w:t>
      </w:r>
    </w:p>
    <w:p w:rsidR="0020210E" w:rsidRPr="0020210E" w:rsidRDefault="0020210E" w:rsidP="0020210E">
      <w:pPr>
        <w:pStyle w:val="Odsekzoznamu"/>
        <w:numPr>
          <w:ilvl w:val="0"/>
          <w:numId w:val="12"/>
        </w:numPr>
        <w:spacing w:line="240" w:lineRule="atLeast"/>
        <w:textAlignment w:val="baseline"/>
        <w:rPr>
          <w:rFonts w:ascii="Eurostile T OT" w:hAnsi="Eurostile T OT"/>
          <w:lang w:val="sk-SK"/>
        </w:rPr>
      </w:pPr>
      <w:r w:rsidRPr="0020210E">
        <w:rPr>
          <w:rFonts w:ascii="Eurostile T OT" w:hAnsi="Eurostile T OT"/>
          <w:lang w:val="sk-SK"/>
        </w:rPr>
        <w:t>Diskusia</w:t>
      </w:r>
    </w:p>
    <w:p w:rsidR="00D2647B" w:rsidRPr="00303380" w:rsidRDefault="00D2647B" w:rsidP="00D2647B">
      <w:pPr>
        <w:pStyle w:val="Odsekzoznamu"/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  <w:lang w:val="sk-SK"/>
        </w:rPr>
      </w:pP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Termín kona</w:t>
      </w:r>
      <w:r w:rsidR="007579A4" w:rsidRPr="00303380">
        <w:rPr>
          <w:rFonts w:ascii="Eurostile T OT" w:hAnsi="Eurostile T OT" w:cs="Calibri"/>
          <w:color w:val="404040"/>
          <w:lang w:val="sk-SK"/>
        </w:rPr>
        <w:t>n</w:t>
      </w:r>
      <w:r w:rsidRPr="00303380">
        <w:rPr>
          <w:rFonts w:ascii="Eurostile T OT" w:hAnsi="Eurostile T OT" w:cs="Calibri"/>
          <w:color w:val="404040"/>
          <w:lang w:val="sk-SK"/>
        </w:rPr>
        <w:t>ia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: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20210E">
        <w:rPr>
          <w:rFonts w:ascii="Eurostile T OT" w:hAnsi="Eurostile T OT" w:cs="Calibri"/>
          <w:color w:val="404040"/>
          <w:lang w:val="sk-SK"/>
        </w:rPr>
        <w:t>31</w:t>
      </w:r>
      <w:r w:rsidR="00F94907">
        <w:rPr>
          <w:rFonts w:ascii="Eurostile T OT" w:hAnsi="Eurostile T OT" w:cs="Calibri"/>
          <w:color w:val="404040"/>
          <w:lang w:val="sk-SK"/>
        </w:rPr>
        <w:t>. 5</w:t>
      </w:r>
      <w:r w:rsidR="00C45893" w:rsidRPr="00303380">
        <w:rPr>
          <w:rFonts w:ascii="Eurostile T OT" w:hAnsi="Eurostile T OT" w:cs="Calibri"/>
          <w:color w:val="404040"/>
          <w:lang w:val="sk-SK"/>
        </w:rPr>
        <w:t>.</w:t>
      </w:r>
      <w:r w:rsidRPr="00303380">
        <w:rPr>
          <w:rFonts w:ascii="Eurostile T OT" w:hAnsi="Eurostile T OT" w:cs="Calibri"/>
          <w:color w:val="404040"/>
          <w:lang w:val="sk-SK"/>
        </w:rPr>
        <w:t xml:space="preserve"> 2017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Počet osô</w:t>
      </w:r>
      <w:r w:rsidR="007579A4" w:rsidRPr="00303380">
        <w:rPr>
          <w:rFonts w:ascii="Eurostile T OT" w:hAnsi="Eurostile T OT" w:cs="Calibri"/>
          <w:color w:val="404040"/>
          <w:lang w:val="sk-SK"/>
        </w:rPr>
        <w:t>b:</w:t>
      </w:r>
      <w:r w:rsidRPr="00303380">
        <w:rPr>
          <w:rFonts w:ascii="Eurostile T OT" w:hAnsi="Eurostile T OT" w:cs="Calibri"/>
          <w:color w:val="404040"/>
          <w:lang w:val="sk-SK"/>
        </w:rPr>
        <w:tab/>
      </w: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Meno: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Priezvisko: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Email: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Pozícia: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  <w:r w:rsidRPr="00303380">
        <w:rPr>
          <w:rFonts w:ascii="Eurostile T OT" w:hAnsi="Eurostile T OT" w:cs="Calibri"/>
          <w:color w:val="404040"/>
          <w:sz w:val="14"/>
          <w:lang w:val="sk-SK"/>
        </w:rPr>
        <w:t>.</w:t>
      </w: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………………..       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…………………………………..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Obchodné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 m</w:t>
      </w:r>
      <w:r w:rsidRPr="00303380">
        <w:rPr>
          <w:rFonts w:ascii="Eurostile T OT" w:hAnsi="Eurostile T OT" w:cs="Calibri"/>
          <w:color w:val="404040"/>
          <w:lang w:val="sk-SK"/>
        </w:rPr>
        <w:t>e</w:t>
      </w:r>
      <w:r w:rsidR="007579A4" w:rsidRPr="00303380">
        <w:rPr>
          <w:rFonts w:ascii="Eurostile T OT" w:hAnsi="Eurostile T OT" w:cs="Calibri"/>
          <w:color w:val="404040"/>
          <w:lang w:val="sk-SK"/>
        </w:rPr>
        <w:t>no:………………………………………………………………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…………………………….</w:t>
      </w:r>
    </w:p>
    <w:p w:rsidR="00D2647B" w:rsidRPr="00303380" w:rsidRDefault="00D2647B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Ulica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……………………..</w:t>
      </w:r>
      <w:r w:rsidR="009544C8">
        <w:rPr>
          <w:rFonts w:ascii="Eurostile T OT" w:hAnsi="Eurostile T OT" w:cs="Calibri"/>
          <w:color w:val="404040"/>
          <w:lang w:val="sk-SK"/>
        </w:rPr>
        <w:t>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>Me</w:t>
      </w:r>
      <w:r w:rsidR="007579A4" w:rsidRPr="00303380">
        <w:rPr>
          <w:rFonts w:ascii="Eurostile T OT" w:hAnsi="Eurostile T OT" w:cs="Calibri"/>
          <w:color w:val="404040"/>
          <w:lang w:val="sk-SK"/>
        </w:rPr>
        <w:t>sto……….……</w:t>
      </w:r>
      <w:r w:rsidR="009544C8">
        <w:rPr>
          <w:rFonts w:ascii="Eurostile T OT" w:hAnsi="Eurostile T OT" w:cs="Calibri"/>
          <w:color w:val="404040"/>
          <w:lang w:val="sk-SK"/>
        </w:rPr>
        <w:t>.....................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PSČ…</w:t>
      </w:r>
      <w:r w:rsidRPr="00303380">
        <w:rPr>
          <w:rFonts w:ascii="Eurostile T OT" w:hAnsi="Eurostile T OT" w:cs="Calibri"/>
          <w:color w:val="404040"/>
          <w:lang w:val="sk-SK"/>
        </w:rPr>
        <w:t>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IČ</w:t>
      </w:r>
      <w:r w:rsidR="002A5008" w:rsidRPr="00303380">
        <w:rPr>
          <w:rFonts w:ascii="Eurostile T OT" w:hAnsi="Eurostile T OT" w:cs="Calibri"/>
          <w:color w:val="404040"/>
          <w:lang w:val="sk-SK"/>
        </w:rPr>
        <w:t>O…………………………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DIČ…………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IČ PDH</w:t>
      </w:r>
      <w:r w:rsidRPr="00303380">
        <w:rPr>
          <w:rFonts w:ascii="Eurostile T OT" w:hAnsi="Eurostile T OT" w:cs="Calibri"/>
          <w:color w:val="404040"/>
          <w:lang w:val="sk-SK"/>
        </w:rPr>
        <w:t>:</w:t>
      </w:r>
      <w:r w:rsidR="002A5008" w:rsidRPr="00303380">
        <w:rPr>
          <w:rFonts w:ascii="Eurostile T OT" w:hAnsi="Eurostile T OT" w:cs="Calibri"/>
          <w:color w:val="404040"/>
          <w:lang w:val="sk-SK"/>
        </w:rPr>
        <w:t>…</w:t>
      </w:r>
      <w:r w:rsidRPr="00303380">
        <w:rPr>
          <w:rFonts w:ascii="Eurostile T OT" w:hAnsi="Eurostile T OT" w:cs="Calibri"/>
          <w:color w:val="404040"/>
          <w:lang w:val="sk-SK"/>
        </w:rPr>
        <w:t>…...………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……………………………….</w:t>
      </w:r>
    </w:p>
    <w:p w:rsidR="00741FB0" w:rsidRPr="00303380" w:rsidRDefault="00741FB0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E5176E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Tel.: ……………………………………………………………………………..  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</w:t>
      </w:r>
      <w:bookmarkStart w:id="0" w:name="_GoBack"/>
      <w:bookmarkEnd w:id="0"/>
      <w:r w:rsidR="007579A4" w:rsidRPr="00303380">
        <w:rPr>
          <w:rFonts w:ascii="Eurostile T OT" w:hAnsi="Eurostile T OT" w:cs="Calibri"/>
          <w:color w:val="404040"/>
          <w:lang w:val="sk-SK"/>
        </w:rPr>
        <w:t>mail:…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………………………………………………………………</w:t>
      </w:r>
    </w:p>
    <w:p w:rsidR="0020210E" w:rsidRDefault="0020210E" w:rsidP="0020210E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78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20210E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20210E" w:rsidRDefault="002A5008" w:rsidP="0020210E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20210E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Arial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63C8C"/>
    <w:multiLevelType w:val="hybridMultilevel"/>
    <w:tmpl w:val="83246E44"/>
    <w:lvl w:ilvl="0" w:tplc="88EEBA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32374"/>
    <w:rsid w:val="000821C0"/>
    <w:rsid w:val="000B70FF"/>
    <w:rsid w:val="000F3210"/>
    <w:rsid w:val="00146749"/>
    <w:rsid w:val="0018052E"/>
    <w:rsid w:val="001839B8"/>
    <w:rsid w:val="00192AE4"/>
    <w:rsid w:val="0020210E"/>
    <w:rsid w:val="0020312E"/>
    <w:rsid w:val="0021276E"/>
    <w:rsid w:val="002658C8"/>
    <w:rsid w:val="00273C64"/>
    <w:rsid w:val="002940D3"/>
    <w:rsid w:val="002A5008"/>
    <w:rsid w:val="00303380"/>
    <w:rsid w:val="003B6491"/>
    <w:rsid w:val="003B7C44"/>
    <w:rsid w:val="003C48CB"/>
    <w:rsid w:val="003F7B43"/>
    <w:rsid w:val="0040380B"/>
    <w:rsid w:val="00436A16"/>
    <w:rsid w:val="00446C12"/>
    <w:rsid w:val="0048271F"/>
    <w:rsid w:val="00506234"/>
    <w:rsid w:val="005108CD"/>
    <w:rsid w:val="00510C0B"/>
    <w:rsid w:val="005531B4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904541"/>
    <w:rsid w:val="009125CD"/>
    <w:rsid w:val="00914C86"/>
    <w:rsid w:val="00927118"/>
    <w:rsid w:val="0093442A"/>
    <w:rsid w:val="00947BF4"/>
    <w:rsid w:val="009544C8"/>
    <w:rsid w:val="00961875"/>
    <w:rsid w:val="00991C6E"/>
    <w:rsid w:val="009C0DAD"/>
    <w:rsid w:val="00AA3058"/>
    <w:rsid w:val="00AA3364"/>
    <w:rsid w:val="00AA5DEE"/>
    <w:rsid w:val="00AD3035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9</cp:revision>
  <cp:lastPrinted>2017-02-09T10:52:00Z</cp:lastPrinted>
  <dcterms:created xsi:type="dcterms:W3CDTF">2016-11-11T13:08:00Z</dcterms:created>
  <dcterms:modified xsi:type="dcterms:W3CDTF">2017-03-13T18:07:00Z</dcterms:modified>
</cp:coreProperties>
</file>