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E0" w:rsidRPr="003B2800" w:rsidRDefault="00D36697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083EE0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B87AF" wp14:editId="0DD121F0">
                <wp:simplePos x="0" y="0"/>
                <wp:positionH relativeFrom="page">
                  <wp:posOffset>533399</wp:posOffset>
                </wp:positionH>
                <wp:positionV relativeFrom="page">
                  <wp:posOffset>200025</wp:posOffset>
                </wp:positionV>
                <wp:extent cx="4581525" cy="942975"/>
                <wp:effectExtent l="0" t="0" r="9525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97" w:rsidRDefault="00D36697" w:rsidP="002562AA">
                            <w:pP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ŽILINA </w:t>
                            </w:r>
                            <w:r w:rsidRPr="00D36697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Dodávatelia – Všetko, čo je potrebné vedieť pre zap</w:t>
                            </w:r>
                            <w:r w:rsidR="00AD7AA6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ojenie sa do verejných zákaziek vrátane JED</w:t>
                            </w:r>
                            <w:r w:rsidRPr="00D36697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51EC8" w:rsidRPr="00933551" w:rsidRDefault="00D36697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</w:t>
                            </w:r>
                            <w:r w:rsidR="00697110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11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B87AF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pt;margin-top:15.75pt;width:360.7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" filled="f" stroked="f">
                <v:textbox inset="0,0,0,0">
                  <w:txbxContent>
                    <w:p w:rsidR="00D36697" w:rsidRDefault="00D36697" w:rsidP="002562AA">
                      <w:pP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ŽILINA </w:t>
                      </w:r>
                      <w:r w:rsidRPr="00D36697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Dodávatelia – Všetko, čo je potrebné vedieť pre zap</w:t>
                      </w:r>
                      <w:r w:rsidR="00AD7AA6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ojenie sa do verejných zákaziek vrátane JED</w:t>
                      </w:r>
                      <w:r w:rsidRPr="00D36697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51EC8" w:rsidRPr="00933551" w:rsidRDefault="00D36697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</w:t>
                      </w:r>
                      <w:r w:rsidR="00697110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11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110" w:rsidRPr="00083EE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C6BC49F" wp14:editId="3D62D4B7">
            <wp:simplePos x="0" y="0"/>
            <wp:positionH relativeFrom="column">
              <wp:posOffset>88265</wp:posOffset>
            </wp:positionH>
            <wp:positionV relativeFrom="paragraph">
              <wp:posOffset>-383540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38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556CEC" wp14:editId="78407345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Pr="006B17E3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 w:rsidR="006B17E3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Hilda Gajdošová 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B17E3"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>e</w:t>
                            </w:r>
                            <w:r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 xml:space="preserve">xterná lektorka spoločnosti OTIDEA, špecializuje sa na konzultačnú činnosť a poradenstvo v oblasti verejného obstarávania, zabezpečuje </w:t>
                            </w:r>
                            <w:r w:rsidR="006B17E3"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>procesy VO pre obstarávateľov</w:t>
                            </w:r>
                            <w:r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 xml:space="preserve"> aj uchádzačov/dodávateľov.</w:t>
                            </w:r>
                            <w:r w:rsidR="006B17E3" w:rsidRPr="006B17E3">
                              <w:rPr>
                                <w:rFonts w:ascii="Eurostile T OT" w:hAnsi="Eurostile T OT" w:cs="Arial"/>
                                <w:color w:val="002060"/>
                                <w:shd w:val="clear" w:color="auto" w:fill="FFFFFF"/>
                              </w:rPr>
                              <w:t xml:space="preserve"> Správca konkurznej podstaty v zmysle zákona č. 8/2005 Z. z. o správcoch a o zmene a doplnení niektorých zákonov v znení neskorších predpisov.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D36697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02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D1DEA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1D1DEA" w:rsidRPr="00152026" w:rsidRDefault="001D1DEA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36697" w:rsidRDefault="00D36697" w:rsidP="00D36697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Poradca podnikateľa, Martina Rázusa 23A, Žilina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6CEC" id="Textové pole 4" o:spid="_x0000_s1027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" fillcolor="white [3201]" stroked="f" strokeweight=".5pt">
                <v:textbox>
                  <w:txbxContent>
                    <w:p w:rsidR="00152026" w:rsidRPr="006B17E3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002060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Ing. </w:t>
                      </w:r>
                      <w:r w:rsidR="006B17E3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Hilda Gajdošová 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B17E3"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>e</w:t>
                      </w:r>
                      <w:r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 xml:space="preserve">xterná lektorka spoločnosti OTIDEA, špecializuje sa na konzultačnú činnosť a poradenstvo v oblasti verejného obstarávania, zabezpečuje </w:t>
                      </w:r>
                      <w:r w:rsidR="006B17E3"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>procesy VO pre obstarávateľov</w:t>
                      </w:r>
                      <w:r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 xml:space="preserve"> aj uchádzačov/dodávateľov.</w:t>
                      </w:r>
                      <w:r w:rsidR="006B17E3" w:rsidRPr="006B17E3">
                        <w:rPr>
                          <w:rFonts w:ascii="Eurostile T OT" w:hAnsi="Eurostile T OT" w:cs="Arial"/>
                          <w:color w:val="002060"/>
                          <w:shd w:val="clear" w:color="auto" w:fill="FFFFFF"/>
                        </w:rPr>
                        <w:t xml:space="preserve"> Správca konkurznej podstaty v zmysle zákona č. 8/2005 Z. z. o správcoch a o zmene a doplnení niektorých zákonov v znení neskorších predpisov.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D36697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02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D1DEA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1D1DEA" w:rsidRPr="00152026" w:rsidRDefault="001D1DEA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36697" w:rsidRDefault="00D36697" w:rsidP="00D36697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Poradca podnikateľa, Martina Rázusa 23A, Žilina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697110" w:rsidRPr="00083EE0" w:rsidRDefault="0069711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AD7AA6" w:rsidRPr="00AD7AA6" w:rsidRDefault="00AD7AA6" w:rsidP="00AD7AA6">
      <w:pPr>
        <w:pStyle w:val="Bezmezer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Prehľad zákonnej úpravy verejného obstarávania a aplikácia v praxi.</w:t>
      </w:r>
    </w:p>
    <w:p w:rsidR="00AD7AA6" w:rsidRPr="00AD7AA6" w:rsidRDefault="00AD7AA6" w:rsidP="00AD7AA6">
      <w:pPr>
        <w:pStyle w:val="Bezmezer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Dôslednosť a pozornosť pri príprave ponuky najmä počas prvých mesiacov účinnosti zákona,  v čom spočívajú najčastejšie nedostatky ponúk.</w:t>
      </w:r>
    </w:p>
    <w:p w:rsidR="00AD7AA6" w:rsidRPr="00AD7AA6" w:rsidRDefault="00AD7AA6" w:rsidP="00AD7AA6">
      <w:pPr>
        <w:pStyle w:val="Bezmezer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Zákazky, lehoty, postupy, pravidlá, povinnosti administrátorov vo vzťahu k uchádzačom.</w:t>
      </w:r>
    </w:p>
    <w:p w:rsidR="00AD7AA6" w:rsidRPr="00AD7AA6" w:rsidRDefault="00AD7AA6" w:rsidP="00AD7AA6">
      <w:pPr>
        <w:pStyle w:val="Bezmezer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 xml:space="preserve">Nové inštitúty a problematika ich aplikácie v praxi (JED, </w:t>
      </w:r>
      <w:proofErr w:type="spellStart"/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samoočisťovací</w:t>
      </w:r>
      <w:proofErr w:type="spellEnd"/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 xml:space="preserve"> mechanizmus, prípravné trhové konzultácie)</w:t>
      </w:r>
    </w:p>
    <w:p w:rsidR="00AD7AA6" w:rsidRPr="00AD7AA6" w:rsidRDefault="00AD7AA6" w:rsidP="00AD7AA6">
      <w:pPr>
        <w:pStyle w:val="Bezmezer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Určenie pravidiel pre záujemcov/uchádzačov v súťažných podkladoch, ich štruktúra a zrozumiteľnosť, stanovenie obchodných podmienok a návrhu zmluvy – ako splniť podmienky účasti.</w:t>
      </w:r>
    </w:p>
    <w:p w:rsidR="00AD7AA6" w:rsidRPr="00AD7AA6" w:rsidRDefault="00AD7AA6" w:rsidP="00AD7AA6">
      <w:pPr>
        <w:pStyle w:val="Bezmezer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Formy účasti hospodárskych subjektov vo verejnom obstarávaní a ich povinnosti.</w:t>
      </w:r>
    </w:p>
    <w:p w:rsidR="00AD7AA6" w:rsidRPr="00AD7AA6" w:rsidRDefault="00AD7AA6" w:rsidP="00AD7AA6">
      <w:pPr>
        <w:pStyle w:val="Bezmezer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Nové oprávnenia a zodpovednosť vo verejnom obstarávaní z pohľadu uchádzačov.</w:t>
      </w:r>
    </w:p>
    <w:p w:rsidR="00AD7AA6" w:rsidRPr="00AD7AA6" w:rsidRDefault="00AD7AA6" w:rsidP="00AD7AA6">
      <w:pPr>
        <w:pStyle w:val="Bezmezer"/>
        <w:numPr>
          <w:ilvl w:val="0"/>
          <w:numId w:val="46"/>
        </w:numPr>
        <w:jc w:val="both"/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>Elektronizácia vo verejnom obstarávaní.</w:t>
      </w:r>
    </w:p>
    <w:p w:rsidR="006B17E3" w:rsidRPr="00AD7AA6" w:rsidRDefault="00AD7AA6" w:rsidP="00111EBE">
      <w:pPr>
        <w:pStyle w:val="Bezmezer"/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 w:rsidRPr="00AD7AA6">
        <w:rPr>
          <w:rFonts w:ascii="Eurostile T OT" w:eastAsia="Times New Roman" w:hAnsi="Eurostile T OT" w:cs="Times New Roman"/>
          <w:color w:val="002060"/>
          <w:sz w:val="24"/>
          <w:szCs w:val="24"/>
          <w:lang w:val="sk-SK" w:eastAsia="cs-CZ"/>
        </w:rPr>
        <w:t xml:space="preserve">Vaše problémy a otázky. </w:t>
      </w:r>
      <w:bookmarkStart w:id="0" w:name="_GoBack"/>
      <w:bookmarkEnd w:id="0"/>
      <w:r w:rsidR="006B17E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79E483" wp14:editId="16404192">
                <wp:simplePos x="0" y="0"/>
                <wp:positionH relativeFrom="column">
                  <wp:posOffset>1035685</wp:posOffset>
                </wp:positionH>
                <wp:positionV relativeFrom="paragraph">
                  <wp:posOffset>515783</wp:posOffset>
                </wp:positionV>
                <wp:extent cx="154876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D36697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697110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11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E483" id="Textové pole 16" o:spid="_x0000_s1028" type="#_x0000_t202" style="position:absolute;left:0;text-align:left;margin-left:81.55pt;margin-top:40.6pt;width:121.95pt;height:2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" filled="f" stroked="f" strokeweight=".5pt">
                <v:path arrowok="t"/>
                <v:textbox>
                  <w:txbxContent>
                    <w:p w:rsidR="004448A1" w:rsidRPr="008815B7" w:rsidRDefault="00D36697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</w:t>
                      </w:r>
                      <w:r w:rsidR="00697110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11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6B17E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28AD96" wp14:editId="70984E99">
                <wp:simplePos x="0" y="0"/>
                <wp:positionH relativeFrom="column">
                  <wp:posOffset>3485515</wp:posOffset>
                </wp:positionH>
                <wp:positionV relativeFrom="paragraph">
                  <wp:posOffset>499582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AD96" id="Textové pole 18" o:spid="_x0000_s1029" type="#_x0000_t202" style="position:absolute;left:0;text-align:left;margin-left:274.45pt;margin-top:39.35pt;width:27.75pt;height:2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 w:rsidR="006B17E3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EAF8ED" wp14:editId="0B5C4BAE">
                <wp:simplePos x="0" y="0"/>
                <wp:positionH relativeFrom="column">
                  <wp:posOffset>-5715</wp:posOffset>
                </wp:positionH>
                <wp:positionV relativeFrom="paragraph">
                  <wp:posOffset>233208</wp:posOffset>
                </wp:positionV>
                <wp:extent cx="6478270" cy="4517390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517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Pr="006B17E3" w:rsidRDefault="00D3669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102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6B17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Prijatá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C52C43" w:rsidRPr="006B17E3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V cene sú zahrnuté </w:t>
                            </w:r>
                            <w:r w:rsidR="006B17E3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materiály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F8ED" id="Textové pole 15" o:spid="_x0000_s1030" type="#_x0000_t202" style="position:absolute;left:0;text-align:left;margin-left:-.45pt;margin-top:18.35pt;width:510.1pt;height:35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Pr="006B17E3" w:rsidRDefault="00D3669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102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6B17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Prijatá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C52C43" w:rsidRPr="006B17E3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V cene sú zahrnuté </w:t>
                      </w:r>
                      <w:r w:rsidR="006B17E3">
                        <w:rPr>
                          <w:rFonts w:ascii="Eurostile T OT" w:hAnsi="Eurostile T OT"/>
                          <w:color w:val="404040" w:themeColor="text1" w:themeTint="BF"/>
                        </w:rPr>
                        <w:t>materiály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sectPr w:rsidR="006B17E3" w:rsidRPr="00AD7AA6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0C" w:rsidRDefault="0054610C" w:rsidP="00506234">
      <w:pPr>
        <w:spacing w:after="0" w:line="240" w:lineRule="auto"/>
      </w:pPr>
      <w:r>
        <w:separator/>
      </w:r>
    </w:p>
  </w:endnote>
  <w:end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A1" w:rsidRDefault="00083EE0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0C" w:rsidRDefault="0054610C" w:rsidP="00506234">
      <w:pPr>
        <w:spacing w:after="0" w:line="240" w:lineRule="auto"/>
      </w:pPr>
      <w:r>
        <w:separator/>
      </w:r>
    </w:p>
  </w:footnote>
  <w:footnote w:type="continuationSeparator" w:id="0">
    <w:p w:rsidR="0054610C" w:rsidRDefault="0054610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A1" w:rsidRDefault="00465DF7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4773930</wp:posOffset>
          </wp:positionH>
          <wp:positionV relativeFrom="paragraph">
            <wp:posOffset>522605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552A5"/>
    <w:multiLevelType w:val="hybridMultilevel"/>
    <w:tmpl w:val="B3D0BA4A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82AF8"/>
    <w:multiLevelType w:val="hybridMultilevel"/>
    <w:tmpl w:val="58EE08C0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92734"/>
    <w:multiLevelType w:val="multilevel"/>
    <w:tmpl w:val="7E9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05385"/>
    <w:multiLevelType w:val="multilevel"/>
    <w:tmpl w:val="B6C8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40106"/>
    <w:multiLevelType w:val="multilevel"/>
    <w:tmpl w:val="08840B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4B43074C"/>
    <w:multiLevelType w:val="hybridMultilevel"/>
    <w:tmpl w:val="3A5E945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6"/>
  </w:num>
  <w:num w:numId="3">
    <w:abstractNumId w:val="34"/>
  </w:num>
  <w:num w:numId="4">
    <w:abstractNumId w:val="32"/>
  </w:num>
  <w:num w:numId="5">
    <w:abstractNumId w:val="38"/>
  </w:num>
  <w:num w:numId="6">
    <w:abstractNumId w:val="12"/>
  </w:num>
  <w:num w:numId="7">
    <w:abstractNumId w:val="29"/>
  </w:num>
  <w:num w:numId="8">
    <w:abstractNumId w:val="31"/>
  </w:num>
  <w:num w:numId="9">
    <w:abstractNumId w:val="0"/>
  </w:num>
  <w:num w:numId="10">
    <w:abstractNumId w:val="21"/>
  </w:num>
  <w:num w:numId="11">
    <w:abstractNumId w:val="41"/>
  </w:num>
  <w:num w:numId="12">
    <w:abstractNumId w:val="20"/>
  </w:num>
  <w:num w:numId="13">
    <w:abstractNumId w:val="9"/>
  </w:num>
  <w:num w:numId="14">
    <w:abstractNumId w:val="35"/>
  </w:num>
  <w:num w:numId="15">
    <w:abstractNumId w:val="7"/>
  </w:num>
  <w:num w:numId="16">
    <w:abstractNumId w:val="13"/>
  </w:num>
  <w:num w:numId="17">
    <w:abstractNumId w:val="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37"/>
  </w:num>
  <w:num w:numId="24">
    <w:abstractNumId w:val="19"/>
  </w:num>
  <w:num w:numId="25">
    <w:abstractNumId w:val="39"/>
  </w:num>
  <w:num w:numId="26">
    <w:abstractNumId w:val="18"/>
  </w:num>
  <w:num w:numId="27">
    <w:abstractNumId w:val="33"/>
  </w:num>
  <w:num w:numId="28">
    <w:abstractNumId w:val="28"/>
  </w:num>
  <w:num w:numId="29">
    <w:abstractNumId w:val="30"/>
  </w:num>
  <w:num w:numId="30">
    <w:abstractNumId w:val="4"/>
  </w:num>
  <w:num w:numId="31">
    <w:abstractNumId w:val="25"/>
  </w:num>
  <w:num w:numId="32">
    <w:abstractNumId w:val="40"/>
  </w:num>
  <w:num w:numId="33">
    <w:abstractNumId w:val="26"/>
  </w:num>
  <w:num w:numId="34">
    <w:abstractNumId w:val="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2"/>
  </w:num>
  <w:num w:numId="38">
    <w:abstractNumId w:val="7"/>
  </w:num>
  <w:num w:numId="39">
    <w:abstractNumId w:val="15"/>
  </w:num>
  <w:num w:numId="40">
    <w:abstractNumId w:val="10"/>
  </w:num>
  <w:num w:numId="41">
    <w:abstractNumId w:val="14"/>
  </w:num>
  <w:num w:numId="42">
    <w:abstractNumId w:val="8"/>
  </w:num>
  <w:num w:numId="43">
    <w:abstractNumId w:val="7"/>
  </w:num>
  <w:num w:numId="44">
    <w:abstractNumId w:val="3"/>
  </w:num>
  <w:num w:numId="45">
    <w:abstractNumId w:val="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1DEA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10C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110"/>
    <w:rsid w:val="00697E7E"/>
    <w:rsid w:val="006B17E3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D7AA6"/>
    <w:rsid w:val="00AE05C4"/>
    <w:rsid w:val="00AE3482"/>
    <w:rsid w:val="00AE6943"/>
    <w:rsid w:val="00B11F77"/>
    <w:rsid w:val="00B44C3D"/>
    <w:rsid w:val="00B53E32"/>
    <w:rsid w:val="00BE1AE4"/>
    <w:rsid w:val="00BF15E8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36697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1040AF"/>
  <w15:docId w15:val="{A641D7AB-D13D-4AC5-8876-5E353E10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30F2-B645-49B0-A5A9-45627900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Adriana Matušová</cp:lastModifiedBy>
  <cp:revision>6</cp:revision>
  <cp:lastPrinted>2013-08-26T10:50:00Z</cp:lastPrinted>
  <dcterms:created xsi:type="dcterms:W3CDTF">2016-08-24T15:12:00Z</dcterms:created>
  <dcterms:modified xsi:type="dcterms:W3CDTF">2016-09-26T13:56:00Z</dcterms:modified>
</cp:coreProperties>
</file>