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335D0E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8BF8" wp14:editId="5D268A93">
                <wp:simplePos x="0" y="0"/>
                <wp:positionH relativeFrom="page">
                  <wp:posOffset>532765</wp:posOffset>
                </wp:positionH>
                <wp:positionV relativeFrom="page">
                  <wp:posOffset>238125</wp:posOffset>
                </wp:positionV>
                <wp:extent cx="5286375" cy="1098550"/>
                <wp:effectExtent l="0" t="0" r="9525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0E" w:rsidRDefault="00335D0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Pravidlá a príprava verejného obstarávania pri čerpaní dotácií z fondov EÚ </w:t>
                            </w:r>
                          </w:p>
                          <w:p w:rsidR="001D1DEA" w:rsidRPr="00083EE0" w:rsidRDefault="00335D0E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(Programové obdobie 2014 – 2020)</w:t>
                            </w:r>
                          </w:p>
                          <w:p w:rsidR="00A51EC8" w:rsidRPr="00933551" w:rsidRDefault="00335D0E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12</w:t>
                            </w:r>
                            <w:r w:rsidR="001D1DE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7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1.95pt;margin-top:18.75pt;width:416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" filled="f" stroked="f">
                <v:textbox inset="0,0,0,0">
                  <w:txbxContent>
                    <w:p w:rsidR="00335D0E" w:rsidRDefault="00335D0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Pravidlá a príprava verejného obstarávania pri čerpaní dotácií z fondov EÚ </w:t>
                      </w:r>
                    </w:p>
                    <w:p w:rsidR="001D1DEA" w:rsidRPr="00083EE0" w:rsidRDefault="00335D0E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(Programové obdobie 2014 – 2020)</w:t>
                      </w:r>
                    </w:p>
                    <w:p w:rsidR="00A51EC8" w:rsidRPr="00933551" w:rsidRDefault="00335D0E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12</w:t>
                      </w:r>
                      <w:r w:rsidR="001D1DE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7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A698F" wp14:editId="649072DB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D1DE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335D0E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D1DE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335D0E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14932895" wp14:editId="6C889A9E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335D0E" w:rsidRPr="00335D0E" w:rsidRDefault="00335D0E" w:rsidP="00335D0E">
      <w:pPr>
        <w:pStyle w:val="Odstavecseseznamem"/>
        <w:numPr>
          <w:ilvl w:val="0"/>
          <w:numId w:val="43"/>
        </w:numPr>
        <w:spacing w:after="0"/>
        <w:jc w:val="both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335D0E">
        <w:rPr>
          <w:rFonts w:ascii="Eurostile T OT" w:hAnsi="Eurostile T OT" w:cs="Times New Roman"/>
          <w:b/>
          <w:color w:val="215868" w:themeColor="accent5" w:themeShade="80"/>
          <w:sz w:val="24"/>
          <w:szCs w:val="24"/>
        </w:rPr>
        <w:t xml:space="preserve">Zákon č. 292/2014 </w:t>
      </w:r>
      <w:r w:rsidRPr="00335D0E">
        <w:rPr>
          <w:rFonts w:ascii="Eurostile T OT" w:eastAsia="Times New Roman" w:hAnsi="Eurostile T OT" w:cs="Times New Roman"/>
          <w:b/>
          <w:color w:val="215868" w:themeColor="accent5" w:themeShade="80"/>
          <w:sz w:val="24"/>
          <w:szCs w:val="24"/>
          <w:lang w:eastAsia="sk-SK"/>
        </w:rPr>
        <w:t>zo 17. septembra 2014 o príspevku poskytovanom</w:t>
      </w:r>
      <w:r w:rsidRPr="00335D0E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z európskych štrukturálnych a investičných fondov a o zmene a doplnení niektorých zákonov.</w:t>
      </w:r>
    </w:p>
    <w:p w:rsidR="00335D0E" w:rsidRPr="00335D0E" w:rsidRDefault="00335D0E" w:rsidP="00335D0E">
      <w:pPr>
        <w:pStyle w:val="Odstavecseseznamem"/>
        <w:numPr>
          <w:ilvl w:val="0"/>
          <w:numId w:val="43"/>
        </w:numPr>
        <w:spacing w:after="0"/>
        <w:jc w:val="both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335D0E">
        <w:rPr>
          <w:rFonts w:ascii="Eurostile T OT" w:eastAsia="Times New Roman" w:hAnsi="Eurostile T OT" w:cs="Times New Roman"/>
          <w:b/>
          <w:color w:val="215868" w:themeColor="accent5" w:themeShade="80"/>
          <w:sz w:val="24"/>
          <w:szCs w:val="24"/>
          <w:lang w:eastAsia="sk-SK"/>
        </w:rPr>
        <w:t>Systém riadenia európskych štrukturálnych a investičných fondov,</w:t>
      </w:r>
      <w:r w:rsidRPr="00335D0E"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  <w:t xml:space="preserve"> prináša nové pravidlá a postupy, ktoré jednotne musia aplikovať do svojich príručiek pre prijímateľa riadiace orgány. </w:t>
      </w:r>
    </w:p>
    <w:p w:rsidR="00335D0E" w:rsidRPr="00335D0E" w:rsidRDefault="00335D0E" w:rsidP="00335D0E">
      <w:pPr>
        <w:pStyle w:val="Odstavecseseznamem"/>
        <w:numPr>
          <w:ilvl w:val="0"/>
          <w:numId w:val="43"/>
        </w:numPr>
        <w:spacing w:after="0"/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335D0E">
        <w:rPr>
          <w:rFonts w:ascii="Eurostile T OT" w:hAnsi="Eurostile T OT" w:cs="Times New Roman"/>
          <w:b/>
          <w:color w:val="215868" w:themeColor="accent5" w:themeShade="80"/>
          <w:sz w:val="24"/>
          <w:szCs w:val="24"/>
        </w:rPr>
        <w:t>Kontrola  verejného obstarávania, riadiacim orgánom je zameraná</w:t>
      </w:r>
      <w:r w:rsidRPr="00335D0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na dodržiavanie základných princípov VO.</w:t>
      </w:r>
    </w:p>
    <w:p w:rsidR="00335D0E" w:rsidRPr="00335D0E" w:rsidRDefault="00335D0E" w:rsidP="00335D0E">
      <w:pPr>
        <w:pStyle w:val="Odstavecseseznamem"/>
        <w:numPr>
          <w:ilvl w:val="0"/>
          <w:numId w:val="43"/>
        </w:numPr>
        <w:spacing w:after="0"/>
        <w:jc w:val="both"/>
        <w:rPr>
          <w:rFonts w:ascii="Eurostile T OT" w:eastAsia="Times New Roman" w:hAnsi="Eurostile T OT" w:cs="Times New Roman"/>
          <w:color w:val="215868" w:themeColor="accent5" w:themeShade="80"/>
          <w:sz w:val="24"/>
          <w:szCs w:val="24"/>
          <w:lang w:eastAsia="sk-SK"/>
        </w:rPr>
      </w:pPr>
      <w:r w:rsidRPr="00335D0E">
        <w:rPr>
          <w:rFonts w:ascii="Eurostile T OT" w:hAnsi="Eurostile T OT" w:cs="Times New Roman"/>
          <w:b/>
          <w:color w:val="215868" w:themeColor="accent5" w:themeShade="80"/>
          <w:sz w:val="24"/>
          <w:szCs w:val="24"/>
        </w:rPr>
        <w:t>Povinnosti žiadateľa v oblasti verejného obstarávania pred podaním žiadosti</w:t>
      </w:r>
      <w:r w:rsidRPr="00335D0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o financovanie projektu z verejných zdrojov alebo zdrojov EU.  </w:t>
      </w:r>
    </w:p>
    <w:p w:rsidR="00335D0E" w:rsidRPr="00335D0E" w:rsidRDefault="00335D0E" w:rsidP="00335D0E">
      <w:pPr>
        <w:pStyle w:val="Odstavecseseznamem"/>
        <w:numPr>
          <w:ilvl w:val="0"/>
          <w:numId w:val="43"/>
        </w:numPr>
        <w:jc w:val="both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335D0E">
        <w:rPr>
          <w:rFonts w:ascii="Eurostile T OT" w:hAnsi="Eurostile T OT" w:cs="Times New Roman"/>
          <w:b/>
          <w:color w:val="215868" w:themeColor="accent5" w:themeShade="80"/>
          <w:sz w:val="24"/>
          <w:szCs w:val="24"/>
        </w:rPr>
        <w:t>Všeobecné zmluvné podmienky</w:t>
      </w:r>
      <w:r w:rsidRPr="00335D0E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 k Zmluve o poskytnutí nenávratného finančného príspevku sú základným dokumentom pre prijímateľa z dôvodu, že jasne deklaruje práva a povinnosti prijímateľa a poskytovateľa pri realizácii projektu.  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335D0E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114</w:t>
                            </w:r>
                            <w:bookmarkStart w:id="0" w:name="_GoBack"/>
                            <w:bookmarkEnd w:id="0"/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335D0E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114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335D0E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12</w:t>
                            </w:r>
                            <w:r w:rsidR="001D1DE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7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335D0E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12</w:t>
                      </w:r>
                      <w:r w:rsidR="001D1DE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7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CB3"/>
    <w:multiLevelType w:val="hybridMultilevel"/>
    <w:tmpl w:val="CD0616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4F14402"/>
    <w:multiLevelType w:val="hybridMultilevel"/>
    <w:tmpl w:val="791C8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29"/>
  </w:num>
  <w:num w:numId="5">
    <w:abstractNumId w:val="36"/>
  </w:num>
  <w:num w:numId="6">
    <w:abstractNumId w:val="10"/>
  </w:num>
  <w:num w:numId="7">
    <w:abstractNumId w:val="26"/>
  </w:num>
  <w:num w:numId="8">
    <w:abstractNumId w:val="28"/>
  </w:num>
  <w:num w:numId="9">
    <w:abstractNumId w:val="0"/>
  </w:num>
  <w:num w:numId="10">
    <w:abstractNumId w:val="19"/>
  </w:num>
  <w:num w:numId="11">
    <w:abstractNumId w:val="39"/>
  </w:num>
  <w:num w:numId="12">
    <w:abstractNumId w:val="18"/>
  </w:num>
  <w:num w:numId="13">
    <w:abstractNumId w:val="7"/>
  </w:num>
  <w:num w:numId="14">
    <w:abstractNumId w:val="33"/>
  </w:num>
  <w:num w:numId="15">
    <w:abstractNumId w:val="6"/>
  </w:num>
  <w:num w:numId="16">
    <w:abstractNumId w:val="11"/>
  </w:num>
  <w:num w:numId="17">
    <w:abstractNumId w:val="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5"/>
  </w:num>
  <w:num w:numId="24">
    <w:abstractNumId w:val="17"/>
  </w:num>
  <w:num w:numId="25">
    <w:abstractNumId w:val="37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3"/>
  </w:num>
  <w:num w:numId="32">
    <w:abstractNumId w:val="38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35D0E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320A-580B-4817-976C-CA992C6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2016-06-20T06:52:00Z</dcterms:created>
  <dcterms:modified xsi:type="dcterms:W3CDTF">2016-06-20T06:52:00Z</dcterms:modified>
</cp:coreProperties>
</file>