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4572B3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060EAEB8" wp14:editId="7C516D1B">
            <wp:simplePos x="0" y="0"/>
            <wp:positionH relativeFrom="column">
              <wp:posOffset>40640</wp:posOffset>
            </wp:positionH>
            <wp:positionV relativeFrom="paragraph">
              <wp:posOffset>-774065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7AC73" wp14:editId="4CFFA2A0">
                <wp:simplePos x="0" y="0"/>
                <wp:positionH relativeFrom="column">
                  <wp:posOffset>2507615</wp:posOffset>
                </wp:positionH>
                <wp:positionV relativeFrom="paragraph">
                  <wp:posOffset>-612774</wp:posOffset>
                </wp:positionV>
                <wp:extent cx="4067175" cy="15049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4572B3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572B3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4572B3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168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4572B3" w:rsidRPr="00152026" w:rsidRDefault="004572B3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48.25pt;width:320.25pt;height:11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" fillcolor="white [3201]" stroked="f" strokeweight=".5pt">
                <v:textbox>
                  <w:txbxContent>
                    <w:p w:rsidR="00152026" w:rsidRDefault="004572B3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572B3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4572B3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168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4572B3" w:rsidRPr="00152026" w:rsidRDefault="004572B3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B3" w:rsidRPr="00083EE0" w:rsidRDefault="004572B3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Verejné obstarávanie podľa zákona č. 343/2015</w:t>
                            </w:r>
                          </w:p>
                          <w:p w:rsidR="00A51EC8" w:rsidRPr="00933551" w:rsidRDefault="00152026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2.</w:t>
                            </w:r>
                            <w:r w:rsidR="004572B3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– 3. 6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4572B3" w:rsidRPr="00083EE0" w:rsidRDefault="004572B3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Verejné obstarávanie podľa zákona č. 343/2015</w:t>
                      </w:r>
                    </w:p>
                    <w:p w:rsidR="00A51EC8" w:rsidRPr="00933551" w:rsidRDefault="00152026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2.</w:t>
                      </w:r>
                      <w:r w:rsidR="004572B3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– 3. 6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4572B3" w:rsidRPr="004572B3" w:rsidRDefault="00083EE0" w:rsidP="004572B3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4572B3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4572B3" w:rsidRPr="004572B3" w:rsidRDefault="004572B3" w:rsidP="004572B3">
      <w:pPr>
        <w:pStyle w:val="Odstavecseseznamem"/>
        <w:spacing w:before="60" w:after="0" w:line="240" w:lineRule="auto"/>
        <w:rPr>
          <w:rFonts w:ascii="Eurostile T OT" w:hAnsi="Eurostile T OT"/>
          <w:b/>
          <w:color w:val="215868" w:themeColor="accent5" w:themeShade="80"/>
        </w:rPr>
      </w:pPr>
      <w:r w:rsidRPr="004572B3">
        <w:rPr>
          <w:rFonts w:ascii="Eurostile T OT" w:hAnsi="Eurostile T OT"/>
          <w:b/>
          <w:color w:val="215868" w:themeColor="accent5" w:themeShade="80"/>
        </w:rPr>
        <w:t>1.deň: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Historické súvislosti a prostredie verejného obstarávania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Regulačný, právny a inštitucionálny rámec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Ciele a princípy verejného obstarávania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Etapy verejného obstarávania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Nový z</w:t>
      </w:r>
      <w:r w:rsidRPr="004572B3">
        <w:rPr>
          <w:rFonts w:ascii="Eurostile T OT" w:hAnsi="Eurostile T OT"/>
          <w:color w:val="215868" w:themeColor="accent5" w:themeShade="80"/>
        </w:rPr>
        <w:t xml:space="preserve">ákon o verejnom obstarávaní 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Základné ustanovenia – základné pojmy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Nadlimitné zákazky v</w:t>
      </w:r>
      <w:r w:rsidRPr="004572B3">
        <w:rPr>
          <w:rFonts w:ascii="Eurostile T OT" w:hAnsi="Eurostile T OT"/>
          <w:color w:val="215868" w:themeColor="accent5" w:themeShade="80"/>
        </w:rPr>
        <w:t> </w:t>
      </w:r>
      <w:r w:rsidRPr="004572B3">
        <w:rPr>
          <w:rFonts w:ascii="Eurostile T OT" w:hAnsi="Eurostile T OT"/>
          <w:color w:val="215868" w:themeColor="accent5" w:themeShade="80"/>
        </w:rPr>
        <w:t>skratke</w:t>
      </w:r>
      <w:r w:rsidRPr="004572B3">
        <w:rPr>
          <w:rFonts w:ascii="Eurostile T OT" w:hAnsi="Eurostile T OT"/>
          <w:color w:val="215868" w:themeColor="accent5" w:themeShade="80"/>
        </w:rPr>
        <w:t>, nadlimitné koncesie</w:t>
      </w:r>
    </w:p>
    <w:p w:rsidR="004572B3" w:rsidRPr="004572B3" w:rsidRDefault="004572B3" w:rsidP="004572B3">
      <w:pPr>
        <w:pStyle w:val="Odstavecseseznamem"/>
        <w:spacing w:before="60" w:after="0" w:line="240" w:lineRule="auto"/>
        <w:rPr>
          <w:rFonts w:ascii="Eurostile T OT" w:hAnsi="Eurostile T OT"/>
          <w:b/>
          <w:color w:val="215868" w:themeColor="accent5" w:themeShade="80"/>
        </w:rPr>
      </w:pPr>
      <w:r w:rsidRPr="004572B3">
        <w:rPr>
          <w:rFonts w:ascii="Eurostile T OT" w:hAnsi="Eurostile T OT"/>
          <w:b/>
          <w:color w:val="215868" w:themeColor="accent5" w:themeShade="80"/>
        </w:rPr>
        <w:t>2.deň: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Elektronické obstarávanie – elektronická komunikácia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Elektronická aukcia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 xml:space="preserve">Zadávanie podlimitných zákaziek 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>
        <w:rPr>
          <w:rFonts w:ascii="Eurostile T OT" w:hAnsi="Eurostile T OT"/>
          <w:color w:val="215868" w:themeColor="accent5" w:themeShade="80"/>
        </w:rPr>
        <w:t>P</w:t>
      </w:r>
      <w:r w:rsidRPr="004572B3">
        <w:rPr>
          <w:rFonts w:ascii="Eurostile T OT" w:hAnsi="Eurostile T OT"/>
          <w:color w:val="215868" w:themeColor="accent5" w:themeShade="80"/>
        </w:rPr>
        <w:t>odmienky účasti</w:t>
      </w:r>
      <w:r>
        <w:rPr>
          <w:rFonts w:ascii="Eurostile T OT" w:hAnsi="Eurostile T OT"/>
          <w:color w:val="215868" w:themeColor="accent5" w:themeShade="80"/>
        </w:rPr>
        <w:t xml:space="preserve">, </w:t>
      </w:r>
      <w:r w:rsidRPr="004572B3">
        <w:rPr>
          <w:rFonts w:ascii="Eurostile T OT" w:hAnsi="Eurostile T OT"/>
          <w:color w:val="215868" w:themeColor="accent5" w:themeShade="80"/>
        </w:rPr>
        <w:t>register konečných užívateľov výhod</w:t>
      </w:r>
      <w:r>
        <w:rPr>
          <w:rFonts w:ascii="Eurostile T OT" w:hAnsi="Eurostile T OT"/>
          <w:color w:val="215868" w:themeColor="accent5" w:themeShade="80"/>
        </w:rPr>
        <w:t xml:space="preserve">, </w:t>
      </w:r>
      <w:r w:rsidRPr="004572B3">
        <w:rPr>
          <w:rFonts w:ascii="Eurostile T OT" w:hAnsi="Eurostile T OT"/>
          <w:color w:val="215868" w:themeColor="accent5" w:themeShade="80"/>
        </w:rPr>
        <w:t>súťažné podklady</w:t>
      </w:r>
      <w:r>
        <w:rPr>
          <w:rFonts w:ascii="Eurostile T OT" w:hAnsi="Eurostile T OT"/>
          <w:color w:val="215868" w:themeColor="accent5" w:themeShade="80"/>
        </w:rPr>
        <w:t xml:space="preserve">, </w:t>
      </w:r>
      <w:r w:rsidRPr="004572B3">
        <w:rPr>
          <w:rFonts w:ascii="Eurostile T OT" w:hAnsi="Eurostile T OT"/>
          <w:color w:val="215868" w:themeColor="accent5" w:themeShade="80"/>
        </w:rPr>
        <w:t>predkladanie a vyhodnotenie ponúk (iba dvojobálka)</w:t>
      </w:r>
    </w:p>
    <w:p w:rsidR="004572B3" w:rsidRPr="004572B3" w:rsidRDefault="004572B3" w:rsidP="004572B3">
      <w:pPr>
        <w:pStyle w:val="Odstavecseseznamem"/>
        <w:numPr>
          <w:ilvl w:val="0"/>
          <w:numId w:val="42"/>
        </w:numPr>
        <w:suppressAutoHyphens/>
        <w:spacing w:before="60" w:after="0" w:line="240" w:lineRule="auto"/>
        <w:contextualSpacing w:val="0"/>
        <w:rPr>
          <w:rFonts w:ascii="Eurostile T OT" w:hAnsi="Eurostile T OT"/>
          <w:color w:val="215868" w:themeColor="accent5" w:themeShade="80"/>
        </w:rPr>
      </w:pPr>
      <w:r w:rsidRPr="004572B3">
        <w:rPr>
          <w:rFonts w:ascii="Eurostile T OT" w:hAnsi="Eurostile T OT"/>
          <w:color w:val="215868" w:themeColor="accent5" w:themeShade="80"/>
        </w:rPr>
        <w:t>uzavretie zmluvy</w:t>
      </w:r>
      <w:r>
        <w:rPr>
          <w:rFonts w:ascii="Eurostile T OT" w:hAnsi="Eurostile T OT"/>
          <w:color w:val="215868" w:themeColor="accent5" w:themeShade="80"/>
        </w:rPr>
        <w:t xml:space="preserve">, </w:t>
      </w:r>
      <w:r w:rsidRPr="004572B3">
        <w:rPr>
          <w:rFonts w:ascii="Eurostile T OT" w:hAnsi="Eurostile T OT"/>
          <w:color w:val="215868" w:themeColor="accent5" w:themeShade="80"/>
        </w:rPr>
        <w:t>zmena zmlúv</w:t>
      </w:r>
      <w:r>
        <w:rPr>
          <w:rFonts w:ascii="Eurostile T OT" w:hAnsi="Eurostile T OT"/>
          <w:color w:val="215868" w:themeColor="accent5" w:themeShade="80"/>
        </w:rPr>
        <w:t xml:space="preserve">, </w:t>
      </w:r>
      <w:r w:rsidRPr="004572B3">
        <w:rPr>
          <w:rFonts w:ascii="Eurostile T OT" w:hAnsi="Eurostile T OT"/>
          <w:color w:val="215868" w:themeColor="accent5" w:themeShade="80"/>
        </w:rPr>
        <w:t>zrušenie použitého postupu zadávania zákazky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4572B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168</w:t>
                            </w:r>
                            <w:bookmarkStart w:id="0" w:name="_GoBack"/>
                            <w:bookmarkEnd w:id="0"/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4572B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168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52C4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2.</w:t>
                            </w:r>
                            <w:r w:rsidR="004572B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– 3. 6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C52C4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2.</w:t>
                      </w:r>
                      <w:r w:rsidR="004572B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– 3. 6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51C6C"/>
    <w:multiLevelType w:val="hybridMultilevel"/>
    <w:tmpl w:val="1E0E46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D21B7"/>
    <w:multiLevelType w:val="hybridMultilevel"/>
    <w:tmpl w:val="3C7A7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A4726"/>
    <w:multiLevelType w:val="hybridMultilevel"/>
    <w:tmpl w:val="A6FEF70E"/>
    <w:lvl w:ilvl="0" w:tplc="64AA2F16">
      <w:numFmt w:val="bullet"/>
      <w:lvlText w:val="-"/>
      <w:lvlJc w:val="left"/>
      <w:pPr>
        <w:ind w:left="1541" w:hanging="360"/>
      </w:pPr>
      <w:rPr>
        <w:rFonts w:ascii="Calibr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8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8"/>
  </w:num>
  <w:num w:numId="5">
    <w:abstractNumId w:val="34"/>
  </w:num>
  <w:num w:numId="6">
    <w:abstractNumId w:val="9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8"/>
  </w:num>
  <w:num w:numId="12">
    <w:abstractNumId w:val="16"/>
  </w:num>
  <w:num w:numId="13">
    <w:abstractNumId w:val="7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5"/>
  </w:num>
  <w:num w:numId="25">
    <w:abstractNumId w:val="35"/>
  </w:num>
  <w:num w:numId="26">
    <w:abstractNumId w:val="14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2"/>
  </w:num>
  <w:num w:numId="32">
    <w:abstractNumId w:val="36"/>
  </w:num>
  <w:num w:numId="33">
    <w:abstractNumId w:val="23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8"/>
  </w:num>
  <w:num w:numId="38">
    <w:abstractNumId w:val="6"/>
  </w:num>
  <w:num w:numId="39">
    <w:abstractNumId w:val="11"/>
  </w:num>
  <w:num w:numId="40">
    <w:abstractNumId w:val="20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572B3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6A16-56D0-4FB0-9597-6B422288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2016-05-04T08:27:00Z</dcterms:created>
  <dcterms:modified xsi:type="dcterms:W3CDTF">2016-05-04T08:27:00Z</dcterms:modified>
</cp:coreProperties>
</file>